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ACPR/919/2021 vom 30. November 2021</w:t>
      </w:r>
    </w:p>
    <w:p>
      <w:r>
        <w:t>GE Cour de justice, 2021-11-30, FR</w:t>
      </w:r>
    </w:p>
    <w:p>
      <w:r>
        <w:rPr>
          <w:b/>
        </w:rPr>
        <w:t xml:space="preserve">Quelle: </w:t>
      </w:r>
      <w:r>
        <w:t>https://mcp.opencaselaw.ch/entscheid/ge_gerichte_ACPR_919_2021</w:t>
      </w:r>
    </w:p>
    <w:p>
      <w:r>
        <w:t>FR: GE_GERICHTE ACPR/919/2021 du 30 novembre 2021</w:t>
      </w:r>
    </w:p>
    <w:p>
      <w:r>
        <w:t>IT: GE_GERICHTE ACPR/919/2021 del 30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w:t>
      </w:r>
    </w:p>
    <w:p>
      <w:r>
        <w:t>- 11/15 - P/8148/2021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Il résulte des principes jurisprudentiels sus-rappelés que les charges ne doivent pas obligatoirement s'aggraver à mesure que l'instruction avance, mais les soupçons ayant fondé le placement en détention provisoire ne doivent pas se réduire au point d'apparaître insuffisants à justifier le maintien en prison.</w:t>
      </w:r>
    </w:p>
    <w:p>
      <w:r>
        <w:rPr>
          <w:b/>
        </w:rPr>
        <w:t>E. 2.3</w:t>
      </w:r>
    </w:p>
    <w:p>
      <w:r>
        <w:t>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w:t>
      </w:r>
    </w:p>
    <w:p>
      <w:r>
        <w:rPr>
          <w:b/>
        </w:rPr>
        <w:t>E. 2.4</w:t>
      </w:r>
    </w:p>
    <w:p>
      <w:r>
        <w:t>En l'espèce, les déclarations du plaignant et les pièces versées à la procédure confirment, à ce stade, que les travaux payés pour plus de CHF 100'000.- étaient largement surfacturés voire inexistants. Peu importe que le plaignant ait été féru d'analyse financière lorsqu'il était en activité; âgé de plus de 80 ans au moment des faits, son médecin traitant a relevé qu'il était victime de troubles de la mémoire et de troubles cognitifs ainsi que d'une fragilité psychologique. Adresser 23 factures, dont certaines non payées, entre le 5 août et le 26 octobre 2020, à une personne dont la mémoire est déficiente peut être vu comme une manœuvre exploitant cette défaillance pour lui faire perdre la notion de l'ensemble des travaux et de leurs coûts.</w:t>
      </w:r>
    </w:p>
    <w:p>
      <w:r>
        <w:t>- 12/15 - P/8148/2021 Les soupçons d'infraction d'usure, voire d'escroquerie, sont, à ce stade de la procédure, suffisants. Les prétendues charges non notifiées au recourant n'en sont pas mais correspondent au mandat d'actes d'enquête délivré à la police. Pour le surplus, la Chambre de céans, qui dispose du dossier intégral de la cause, n'a pas constaté de refus d'accès à la procédure de la part du Ministère public.</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en Suisse participe au risque de fuite (ATF 143 IV 160 consid. 4.3 p. 167).</w:t>
      </w:r>
    </w:p>
    <w:p>
      <w:r>
        <w:rPr>
          <w:b/>
        </w:rPr>
        <w:t>E. 3.2</w:t>
      </w:r>
    </w:p>
    <w:p>
      <w:r>
        <w:t>En l'occurrence, le recourant est de nationalité française, la France qui n'extrade pas ses nationaux. S'il a une adresse à G______ depuis 2020, selon son permis B, il a déclaré n'y séjourner que quelques mois par année; le reste du temps, il vit avec les gens de sa communauté, y compris en France où sa famille réside; la localisation de son lieu de résidence est pratiquement impossible à déterminer. Ses attaches familiales ne sont donc pas en Suisse. Il vit de travaux confiés à l'occasion de porte- à-porte sans autre précision; ses attaches professionnelles ne sont donc pas non plus en Suisse. En outre, il a été condamné à une peine privative de liberté avec sursis, lequel pourrait être révoqué s'il devait être reconnu coupable. Il existe ainsi un risque concret que, remis en liberté, il ne choisisse de disparaître dans la clandestinité ou à l'étranger pour se soustraire à la procédure pénale, voire à une nouvelle condamnation.</w:t>
      </w:r>
    </w:p>
    <w:p>
      <w:r>
        <w:rPr>
          <w:b/>
        </w:rPr>
        <w:t>E. 4</w:t>
      </w:r>
    </w:p>
    <w:p>
      <w:r>
        <w:t>L'admission de ce risque de fuite étant suffisant, point n'est besoin d'examiner si les risques de collusion et réitération ont été retenus à bon escient (arrêt du Tribunal fédéral 1B_322/2019 du 17 juillet 2019 consid. 3.3 et la jurisprudence citée).</w:t>
      </w:r>
    </w:p>
    <w:p>
      <w:r>
        <w:rPr>
          <w:b/>
        </w:rPr>
        <w:t>E. 5</w:t>
      </w:r>
    </w:p>
    <w:p>
      <w:r>
        <w:t>Le recourant propose, pour pallier ce risque, que le Ministère public conserve, le temps de la procédure, sa carte d'identité, précisant ne pas avoir de passeport; cette mesure n'est pas de nature à l'empêcher de passer la frontière par la voie terrestre. L'assignation à résidence dans son appartement de G______ avec la pose d'un</w:t>
      </w:r>
    </w:p>
    <w:p>
      <w:r>
        <w:t>- 13/15 - P/8148/2021 bracelet électronique, outre qu'elle paraît difficile à mettre en place à brève échéance n'est pas envisageable sans l'assurance de l'existence d'un contrat de bail en cours et d'un raccordement téléphonique. Les mêmes réserves existent s'agissant du camping de Q______. Enfin, le recourant ne fournit à la Chambre de céans aucune information utile pour la fixation de la caution et l'examen de l'origine des fonds. Ainsi, aucune mesure de substitution ne permet de pallier ce risque de fuite.</w:t>
      </w:r>
    </w:p>
    <w:p>
      <w:r>
        <w:rPr>
          <w:b/>
        </w:rPr>
        <w:t>E. 6</w:t>
      </w:r>
    </w:p>
    <w:p>
      <w:r>
        <w:t>Les maux dont le recourant dit souffrir sont apparemment pris en charge par les médecins des services pénitentiaires sans que cela justifie une mesure particulière de la part de l'autorité de la détention. Il sera néanmoins rappelé au Procureur de procéder sans tarder aux actes qu'il entend encore effectuer dans le délai qui lui a été fixé dans l'ordonnance de la mise en détention provisoire.</w:t>
      </w:r>
    </w:p>
    <w:p>
      <w:r>
        <w:rPr>
          <w:b/>
        </w:rPr>
        <w:t>E. 7</w:t>
      </w:r>
    </w:p>
    <w:p>
      <w:r>
        <w:t>Le recours est dès lors rejeté.</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l'espèce, le recourant soulève dans son recours une contestation des charges qui repose, pour l'essentiel, sur une lecture partielle des éléments constitutifs de l'usure, et erronée du pouvoir d'examen de l'autorité de recours en matière de détention avant jugement. Pareilles contestations doivent être considérées comme d'emblée vouées à l'échec en instance de recours au sens de l'art. 222 CPP. S'agissant de la première fois qu'il conteste les charges, les honoraires de son défenseur d'office seront indemnisés, ex aequo et bono, à hauteur de CHF 500.- TTC.</w:t>
      </w:r>
    </w:p>
    <w:p>
      <w:r>
        <w:rPr>
          <w:b/>
        </w:rPr>
        <w:t>E. 8.3</w:t>
      </w:r>
    </w:p>
    <w:p>
      <w:r>
        <w:t>Même au bénéfice d'une défense d'office, les frais de l'instance – le recourant n'obtenant pas gain de cause – doivent être fixés (arrêts du Tribunal fédéral 1B_372/2014 du 8 avril 2015 consid. 4.6 et 1B_203/2011 du 18 mai 2011 consid. 4). En l'occurrence, ils seront arrêtés à CHF 900.-, émolument de décision compris (art. 428 al. 1 CPP et 13 al. 1 du Règlement fixant le tarif des frais en matière pénale, RTFMP; E 4 10.03). * * * * *</w:t>
      </w:r>
    </w:p>
    <w:p>
      <w:r>
        <w:t>- 14/15 - P/8148/2021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