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ACPR/918/2023 vom 30. Juni 2023</w:t>
      </w:r>
    </w:p>
    <w:p>
      <w:r>
        <w:t>GE Cour de justice, 2023-06-30, FR</w:t>
      </w:r>
    </w:p>
    <w:p>
      <w:r>
        <w:rPr>
          <w:b/>
        </w:rPr>
        <w:t xml:space="preserve">Quelle: </w:t>
      </w:r>
      <w:r>
        <w:t>https://mcp.opencaselaw.ch/entscheid/ge_gerichte_ACPR_918_2023</w:t>
      </w:r>
    </w:p>
    <w:p>
      <w:r>
        <w:t>FR: GE_GERICHTE ACPR/918/2023 du 30 juin 2023</w:t>
      </w:r>
    </w:p>
    <w:p>
      <w:r>
        <w:t>IT: GE_GERICHTE ACPR/918/2023 del 30 giugno 2023</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1.2</w:t>
      </w:r>
    </w:p>
    <w:p>
      <w:r>
        <w:t>Les pièces nouvelles produites devant la Chambre de céans sont également recevables (arrêt du Tribunal fédéral 1B_550/2022 du 17 novembre 2022 consid. 2.1).</w:t>
      </w:r>
    </w:p>
    <w:p>
      <w:r>
        <w:rPr>
          <w:b/>
        </w:rPr>
        <w:t>E. 2.1</w:t>
      </w:r>
    </w:p>
    <w:p>
      <w:r>
        <w:t>À teneur de l'art. 310 al. 1 CPP, le ministère public rend immédiatement une ordonnance de non-entrée en matière s'il ressort notamment de la dénonciation ou du rapport de police que les éléments constitutifs de l'infraction ou les conditions à l'ouverture de l'action pénale ne sont manifestement pas réunis (let. a) ou qu'il existe des empêchements de procéder (let. b).</w:t>
      </w:r>
    </w:p>
    <w:p>
      <w:r>
        <w:t>- 5/7 - P/10727/2023</w:t>
      </w:r>
    </w:p>
    <w:p>
      <w:r>
        <w:rPr>
          <w:b/>
        </w:rPr>
        <w:t>E. 2.2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 Parmi les motifs de fait, on trouve l'impossibilité d'identifier l'auteur (op.cit. n.9a ad 310; cf. aussi ACPR/918/2019 du 20 novembre 2019 consid. 4.1 et ACPR/744/2022 du 1er novembre 2022 consid. 3.1.).</w:t>
      </w:r>
    </w:p>
    <w:p>
      <w:r>
        <w:rPr>
          <w:b/>
        </w:rPr>
        <w:t>E. 2.3</w:t>
      </w:r>
    </w:p>
    <w:p>
      <w:r>
        <w:t>En l'espèce, le Ministère public a décidé de ne pas entrer en matière au motif qu'il n'était pas possible d'établir l'identité de l'auteur ayant jeté le sachet de "mort aux rats" dans le jardin des recourants. Or, cette décision paraît prématurée, à tout le moins en l'absence d'une enquête de voisinage, eu égard à la gravité des faits dénoncés et leurs potentielles conséquences. En effet, le jet de sachets de "mort aux rats" dans un jardin où pourraient se trouver des enfants, respectivement des animaux, n'est pas anodin, ce d'autant plus que cet acte semble s'être répété. Il appartiendra donc au Ministère public de compléter l'enquête (art. 309 al. 2 CPP), soit à tout le moins de procéder, ou faire procéder, à l'audition des voisins vivant à proximité des recourants, avant de décider de la suite à donner à la procédure. Pour le surplus, les recourants sollicitent la jonction des procédures. Or, il n'appartient pas à la Chambre de céans de se prononcer sur cette question faute de décision préalable du Ministère public sur ce point.</w:t>
      </w:r>
    </w:p>
    <w:p>
      <w:r>
        <w:rPr>
          <w:b/>
        </w:rPr>
        <w:t>E. 3</w:t>
      </w:r>
    </w:p>
    <w:p>
      <w:r>
        <w:t>Fondé, le recours doit être admis ; partant, l'ordonnance querellée sera annulée et la cause retournée au Ministère public afin qu'il procède au complément d'enquête susmentionné, voire ouvre une instruction.</w:t>
      </w:r>
    </w:p>
    <w:p>
      <w:r>
        <w:rPr>
          <w:b/>
        </w:rPr>
        <w:t>E. 4</w:t>
      </w:r>
    </w:p>
    <w:p>
      <w:r>
        <w:t>L'admission du recours ne donne pas lieu à la perception de frais (art. 428 al. 1 CPP), de sorte que le montant de CHF 1'500.- versé par les recourants à titre de sûretés leur sera restitué.</w:t>
      </w:r>
    </w:p>
    <w:p>
      <w:r>
        <w:t>- 6/7 - P/10727/2023</w:t>
      </w:r>
    </w:p>
    <w:p>
      <w:r>
        <w:rPr>
          <w:b/>
        </w:rPr>
        <w:t>E. 5</w:t>
      </w:r>
    </w:p>
    <w:p>
      <w:r>
        <w:t>Les recourants, parties plaignantes qui obtiennent gain de cause, ont requis le versement d'une équitable indemnité au sens de l'art. 433 al. 2 CPP, applicable en instance de recours (art. 436 al. 1 CPP), mais, faute de l'avoir chiffrée et justifiée, il ne leur en sera point allouée (arrêt du Tribunal fédéral 6B_1345/2016 du 30 novembre 2017 consid. 7.2). * * * * *</w:t>
      </w:r>
    </w:p>
    <w:p>
      <w:r>
        <w:t>- 7/7 - P/10727/2023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