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ACPR/918/2021 vom 10. November 2021</w:t>
      </w:r>
    </w:p>
    <w:p>
      <w:r>
        <w:t>GE Cour de justice, 2021-11-10, FR</w:t>
      </w:r>
    </w:p>
    <w:p>
      <w:r>
        <w:rPr>
          <w:b/>
        </w:rPr>
        <w:t xml:space="preserve">Quelle: </w:t>
      </w:r>
      <w:r>
        <w:t>https://mcp.opencaselaw.ch/entscheid/ge_gerichte_ACPR_918_2021</w:t>
      </w:r>
    </w:p>
    <w:p>
      <w:r>
        <w:t>FR: GE_GERICHTE ACPR/918/2021 du 10 novembre 2021</w:t>
      </w:r>
    </w:p>
    <w:p>
      <w:r>
        <w:t>IT: GE_GERICHTE ACPR/918/2021 del 10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– faute de notification conforme à l'art. 85 al. 2 CPP – (art. 385 al. 1 et 396 al. 1 CPP), concerner une ordonnance sujette à recours auprès de la Chambre de céans (art. 393 al. 1 let. a CPP)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conteste le bien-fondé de la jonction.</w:t>
      </w:r>
    </w:p>
    <w:p>
      <w:r>
        <w:rPr>
          <w:b/>
        </w:rPr>
        <w:t>E. 3.1</w:t>
      </w:r>
    </w:p>
    <w:p>
      <w:r>
        <w:t>L'art. 29 CPP règle le principe de l'unité de la procédure pénale. Il prévoit qu'il y a lieu de poursuivre et juger, en une seule et même procédure, l'ensemble des infractions reprochées à un même prévenu. Le principe de l'unité de la procédure tend à éviter les jugements contradictoires et sert l'économie de la procédure (ATF 138 IV 29 consid. 3.2; ATF 138 IV 214 consid. 3.2 et les références citées; arrêt du Tribunal fédéral 1B_428/2018 du 7 novembre 2018 consid. 3.2).</w:t>
      </w:r>
    </w:p>
    <w:p>
      <w:r>
        <w:rPr>
          <w:b/>
        </w:rPr>
        <w:t>E. 3.2</w:t>
      </w:r>
    </w:p>
    <w:p>
      <w:r>
        <w:t>En l'espèce, le recourant est prévenu dans les deux procédures concernées. Conformément au principe de l'unité de la procédure, ces faits – et les infractions qui y sont associées – doivent donc en principe être poursuivis conjointement. Il n'invoque au demeurant aucune raison objective pour que les infractions soient poursuivies séparément, rien n'indiquant à ce stade de l'enquête que l'une ou l'autre des plaintes pourrait d'ores et déjà faire l'objet d'une ordonnance de non-entrée en matière. Aussi, la décision querellée ne prête pas le flanc à la critique.</w:t>
      </w:r>
    </w:p>
    <w:p>
      <w:r>
        <w:rPr>
          <w:b/>
        </w:rPr>
        <w:t>E. 4</w:t>
      </w:r>
    </w:p>
    <w:p>
      <w:r>
        <w:t>Le recourant, qui succombe, supportera les frais envers l'État, qui comprendront un émolument global de CHF 1'000.- pour l'ordonnance sur effet suspensif et le présent arrêt (art. 428 al. 1 CPP et 13 al. 1 du Règlement fixant le tarif des frais en matière pénale, RTFMP ; E 4 10.03). * * * * *</w:t>
      </w:r>
    </w:p>
    <w:p>
      <w:r>
        <w:t>- 4/5 - P/21175/2021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