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ACPR/917/2020 vom 26. Oktober 2020</w:t>
      </w:r>
    </w:p>
    <w:p>
      <w:r>
        <w:t>GE Cour de justice, 2020-10-26, FR</w:t>
      </w:r>
    </w:p>
    <w:p>
      <w:r>
        <w:rPr>
          <w:b/>
        </w:rPr>
        <w:t xml:space="preserve">Quelle: </w:t>
      </w:r>
      <w:r>
        <w:t>https://mcp.opencaselaw.ch/entscheid/ge_gerichte_ACPR_917_2020</w:t>
      </w:r>
    </w:p>
    <w:p>
      <w:r>
        <w:t>FR: GE_GERICHTE ACPR/917/2020 du 26 octobre 2020</w:t>
      </w:r>
    </w:p>
    <w:p>
      <w:r>
        <w:t>IT: GE_GERICHTE ACPR/917/2020 del 26 ottobre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être certain que les faits ne sont pas punissables (ATF 137 IV 285 consid. 2.3). Le principe "in dubio pro duriore" découle du principe de la légalité (art. 5 al. 1 Cst. et 2 al. 2 CPP en relation avec les art. 19 al. 1 et 324 CPP ; ATF 138 IV 86 consid. 4.2 p. 91).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p. 91; 137 IV 285 consid. 2.5 p. 288 ; arrêt du Tribunal fédéral 1B_112/2012 du 6 décembre 2012). 3.2.1.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Ce comportement peut être réalisé sous n'importe quelle forme d'expression, notamment par l'écriture ou l'image (cf. art. 176 CP; ATF 131 IV 160 consid. 3.3 p. 163). L'atteinte doit porter sur une allégation de fait.</w:t>
      </w:r>
    </w:p>
    <w:p>
      <w:r>
        <w:t>- 5/8 - P/16132/2020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132 IV 112 consid. 2.1 p. 115). Pour apprécier si une déclaration est attentatoire à l'honneur, il faut procéder à une interprétation objective selon le sens que le destinataire non prévenu devait, dans les circonstances d'espèce, lui attribuer (ATF 137 IV 313 consid. 2.1.3 p. 315 s.). Les mêmes termes n'ont donc pas nécessairement la même portée suivant le contexte dans lequel ils sont employés (ATF 118 IV 248 consid. 2b p. 251; ATF 105 IV 196 consid. 2 p. 195 s.). Selon la jurisprudence, un texte doit être analysé non seulement en fonction des expressions utilisées, prises séparément, mais aussi selon le sens général qui se dégage du texte dans son ensemble (ATF 145 IV 462 consid. 4.2.3; 137 IV 313 consid. 2.1.3 p. 316). 3.2.2. Il s'agit d'une infraction intentionnelle dont l'auteur doit être conscient du caractère attentatoire à l'honneur de son allégation. Pour apprécier si une déclaration est attentatoire à l'honneur, il faut se fonder non pas sur le sens que lui donne la personne visée, mais sur une interprétation objective selon le sens qu'un destinataire non prévenu doit, dans les circonstances d'espèce, lui attribuer. La personne dont l'honneur est visé n'a pas à être désignée, il suffit qu'elle soit reconnaissable, soit identifiable (ATF 124 IV 262 consid. 2a p. 266 s.; 117 IV 27 consid. 2c p. 29 et arrêts cités).</w:t>
      </w:r>
    </w:p>
    <w:p>
      <w:r>
        <w:rPr>
          <w:b/>
        </w:rPr>
        <w:t>E. 3.3</w:t>
      </w:r>
    </w:p>
    <w:p>
      <w:r>
        <w:t>Le Ministère public ne s'étant pas prononcé sur le respect du délai de plainte, la Chambre de céans n'examinera pas cette condition, partant du principe que le Procureur l'a fait. L'interprétation donnée par le recourant au texte querellé est spéculative. Contrairement à ce que soutient le recourant, le courriel querellé ne le présente pas comme étant un homme méprisable. Le message doit être compris, par un destinataire extérieur, comme visant à éviter qu'un conflit existant ne prenne des proportions plus importantes; le recourant y est présenté comme restant sur ses positions de sorte qu'une discussion serait inutile ce d'autant plus que l'avocat de l'école et l'autorité administrative étaient d'ores et déjà saisis; cela n'est pas un comportement méprisable. Ce courriel ne porte ainsi pas atteinte à l'honneur du recourant.</w:t>
      </w:r>
    </w:p>
    <w:p>
      <w:r>
        <w:rPr>
          <w:b/>
        </w:rPr>
        <w:t>E. 4</w:t>
      </w:r>
    </w:p>
    <w:p>
      <w:r>
        <w:t>Le recourant conclut à l'apport des procédures connexes en cours au Ministère public.</w:t>
      </w:r>
    </w:p>
    <w:p>
      <w:r>
        <w:t>- 6/8 - P/16132/2020 On ne voit pas la nécessité de cet apport à la procédure de recours, le courriel étant analysé pour lui-même. Le recourant demande que "la vérité soit faite sur ces trois volets étroitement liés et appartenant à une seule et même affaire". Il semble ainsi souhaiter en réalité une jonction des procédures. Or, il n'appartient pas à la Chambre de céans de se prononcer sur cette question faute de décision préalable du Ministère public.</w:t>
      </w:r>
    </w:p>
    <w:p>
      <w:r>
        <w:rPr>
          <w:b/>
        </w:rPr>
        <w:t>E. 5</w:t>
      </w:r>
    </w:p>
    <w:p>
      <w:r>
        <w:t>Le recourant, qui succombe, supportera les frais envers l'État, qui seront fixés en totalité à CHF 1'000.- (art. 428 al. 1 CPP et 13 al. 1 du Règlement fixant le tarif des frais en matière pénale, RTFMP; E 4 10.03). * * * * *</w:t>
      </w:r>
    </w:p>
    <w:p>
      <w:r>
        <w:t>- 7/8 - P/16132/2020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