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ACPR/915/2023 vom 2. Oktober 2023</w:t>
      </w:r>
    </w:p>
    <w:p>
      <w:r>
        <w:t>GE Cour de justice, 2023-10-02, FR</w:t>
      </w:r>
    </w:p>
    <w:p>
      <w:r>
        <w:rPr>
          <w:b/>
        </w:rPr>
        <w:t xml:space="preserve">Quelle: </w:t>
      </w:r>
      <w:r>
        <w:t>https://mcp.opencaselaw.ch/entscheid/ge_gerichte_ACPR_915_2023</w:t>
      </w:r>
    </w:p>
    <w:p>
      <w:r>
        <w:t>FR: GE_GERICHTE ACPR/915/2023 du 2 octobre 2023</w:t>
      </w:r>
    </w:p>
    <w:p>
      <w:r>
        <w:t>IT: GE_GERICHTE ACPR/915/2023 del 2 ottobre 2023</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faits et moyens de preuve nouveaux sont également recevables devant l'instance de recours (arrêt du Tribunal fédéral 1B_550/2020 du 19 novembre 2022 consid. 2.1).</w:t>
      </w:r>
    </w:p>
    <w:p>
      <w:r>
        <w:rPr>
          <w:b/>
        </w:rPr>
        <w:t>E. 2</w:t>
      </w:r>
    </w:p>
    <w:p>
      <w:r>
        <w:t>Le recourant reproche au Ministère public de ne pas lui avoir accordé une défense d'office.</w:t>
      </w:r>
    </w:p>
    <w:p>
      <w:r>
        <w:rPr>
          <w:b/>
        </w:rPr>
        <w:t>E. 2.1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En tout état de cause, une affaire n'est pas de peu de gravité lorsque le prévenu est passible d'une peine privative de liberté de plus de quatre mois ou d'une peine pécuniaire de plus de 120 jours-amende (al. 3).</w:t>
      </w:r>
    </w:p>
    <w:p>
      <w:r>
        <w:rPr>
          <w:b/>
        </w:rPr>
        <w:t>E. 2.2</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peine-menace prévue par la loi (ATF 143 I 164 consid. 2.4.3 et 3; L. MOREILLON / A. PAREIN-REYMOND, Petit Commentaire du CPP, 2e éd., 2016, n. 30 ad art. 132). La nécessité de l'intervention d'un conseil juridique doit ainsi reposer sur des éléments objectifs, tenant principalement à la nature de la cause, et sur des éléments subjectifs, fondés sur l'aptitude concrète du requérant à mener seul la procédure. Il y a lieu de se demander si une personne raisonnable et de bonne foi – qui présenterait les mêmes caractéristiques que le requérant mais disposerait de ressources suffisantes – ferait ou non appel à un avocat (arrêt du Tribunal fédéral 1B_360/2020 du 4 septembre 2020 consid. 2.2). Il n'est pas exclu que l'intervention</w:t>
      </w:r>
    </w:p>
    <w:p>
      <w:r>
        <w:t>- 5/7 - P/17827/2023 d'un défenseur soit justifiée par d'autres motifs,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1B_12/2020 du 24 janvier 2020 consid. 3.1; 1B_374/2018 du 4 septembre 2018 consid. 2.1). Pour apprécier la difficulté subjective d'une cause, il faut aussi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1B_538/2019 du 10 décembre 2019 consid. 3.1).</w:t>
      </w:r>
    </w:p>
    <w:p>
      <w:r>
        <w:rPr>
          <w:b/>
        </w:rPr>
        <w:t>E. 2.3</w:t>
      </w:r>
    </w:p>
    <w:p>
      <w:r>
        <w:t>En l'espèce, la question de l'indigence du recourant peut souffrir de rester indécise, compte tenu de ce qui suit. La peine concrètement encourue par l'intéressé s'élève à soixante jours-amende – assortie de surcroît d'un sursis par le Ministère public dans son ordonnance pénale du 16 août 2023 –, en sus d'une amende de CHF 500.-, de sorte que la cause est de peu de gravité. En outre, la cause ne présente pas de difficultés particulières d'un point de vue de l'établissement des faits. Elle porte en effet sur une brève altercation, durant laquelle le recourant a admis avoir poussé, de ses deux mains, le plaignant. Les circonstances sont ainsi clairement circonscrites et le recourant s'est d'ores et déjà déterminé à deux reprises, sans la présence d'un conseil. Les enjeux juridiques principaux touchent à la distinction entre les lésions corporelles simples et graves. La délimitation entre ces deux infractions peut, certes, s'avérer difficile, voire compliquée, pour une personne sans formation juridique particulière, comme cela semble être le cas du recourant. Néanmoins, il ressort de son recours et de sa réplique que ce dernier a compris l'importance de cette distinction puisqu'il discute les lésions alléguées par le plaignant. Le recourant apparaît également en mesure de se défendre seul puisqu'il a, lui-même, relevé la pertinence d'un acte d'enquête susceptible d'étayer les faits, à savoir l'audition de l'élève conductrice présente avec lui dans le véhicule. Enfin, le recourant invoque les conséquences personnelles découlant de la procédure. Cela étant, le retrait de son permis de conduire et de son autorisation d'enseigner semble avoir été, en partie, motivé par des facteurs externes à la cause. Les décisions de l'OCV ne peuvent donc être prises en considération pour établir la nécessité de l'assistance d'un conseil dans la présente cause.</w:t>
      </w:r>
    </w:p>
    <w:p>
      <w:r>
        <w:t>- 6/7 - P/17827/2023 En résumé, l'une des conditions cumulatives de l'art. 132 al. 2 CPP n'est pas réalisée. Partant, la défense d'office ne se justifie pas. Le recourant conserve la possibilité de solliciter derechef la défense d'office devant le Tribunal pénal, dans l'hypothèse où le Ministère public choisirait de maintenir son ordonnance pénale.</w:t>
      </w:r>
    </w:p>
    <w:p>
      <w:r>
        <w:rPr>
          <w:b/>
        </w:rPr>
        <w:t>E. 3</w:t>
      </w:r>
    </w:p>
    <w:p>
      <w:r>
        <w:t>Justifiée, l'ordonnance querellée doit être confirmée.</w:t>
      </w:r>
    </w:p>
    <w:p>
      <w:r>
        <w:rPr>
          <w:b/>
        </w:rPr>
        <w:t>E. 4</w:t>
      </w:r>
    </w:p>
    <w:p>
      <w:r>
        <w:t>La procédure de recours contre le refus de l'octroi de l'assistance juridique ne donne pas lieu à la perception de frais (art. 20 RAJ). * * * * *</w:t>
      </w:r>
    </w:p>
    <w:p>
      <w:r>
        <w:t>- 7/7 - P/17827/2023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