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ACPR/913/2019 vom 12. September 2019</w:t>
      </w:r>
    </w:p>
    <w:p>
      <w:r>
        <w:t>GE Cour de justice, 2019-09-12, FR</w:t>
      </w:r>
    </w:p>
    <w:p>
      <w:r>
        <w:rPr>
          <w:b/>
        </w:rPr>
        <w:t xml:space="preserve">Quelle: </w:t>
      </w:r>
      <w:r>
        <w:t>https://mcp.opencaselaw.ch/entscheid/ge_gerichte_ACPR_913_2019</w:t>
      </w:r>
    </w:p>
    <w:p>
      <w:r>
        <w:t>FR: GE_GERICHTE ACPR/913/2019 du 12 septembre 2019</w:t>
      </w:r>
    </w:p>
    <w:p>
      <w:r>
        <w:t>IT: GE_GERICHTE ACPR/913/2019 del 12 settembre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2013, n. 2 ad art. 391 ; ACPR/831/2017 du 6 décembre 2017).</w:t>
      </w:r>
    </w:p>
    <w:p>
      <w:r>
        <w:rPr>
          <w:b/>
        </w:rPr>
        <w:t>E. 3</w:t>
      </w:r>
    </w:p>
    <w:p>
      <w:r>
        <w:t>Le recours a été déposé selon la forme et dans le délai prescrits (art. 385 al.1 et 396 al.1 CPP) – les formalités de l'art. 85 al. 2 CPP n'ayant pas été observées – et concerne des ordonnances sujettes à recours auprès de la Chambre de céans (art. 393 al.1 let. a CPP).</w:t>
      </w:r>
    </w:p>
    <w:p>
      <w:r>
        <w:rPr>
          <w:b/>
        </w:rPr>
        <w:t>E. 4</w:t>
      </w:r>
    </w:p>
    <w:p>
      <w:r>
        <w:t>Reste à déterminer si les recourants disposent de la qualité pour recourir.</w:t>
      </w:r>
    </w:p>
    <w:p>
      <w:r>
        <w:t>- 4/8 - P/18619/2019 Les recourants soutiennent avoir été "victime d'instigation à meurtre", Jérémy LUBICZ ayant demandé à son frère de le tuer, sa belle-sœur ayant assisté à la scène, tout en expliquant s'être sentis menacés dans leur intégrité physique.</w:t>
      </w:r>
    </w:p>
    <w:p>
      <w:r>
        <w:rPr>
          <w:b/>
        </w:rPr>
        <w:t>E. 4.1</w:t>
      </w:r>
    </w:p>
    <w:p>
      <w:r>
        <w:t>Le recourant, quel qu'il soit, doit être directement atteint dans ses droits et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w:t>
      </w:r>
    </w:p>
    <w:p>
      <w:r>
        <w:rPr>
          <w:b/>
        </w:rPr>
        <w:t>E. 4.2</w:t>
      </w:r>
    </w:p>
    <w:p>
      <w:r>
        <w:t>L'art. 111 CP vise celui qui aura intentionnellement tué une personne. L'art. 114 CP punit celui qui, cédant à un mobile honorable, notamment à la pitié, aura donné la mort à une personne sur la demande sérieuse et instante de celle-ci. Les protagonistes doivent se trouver dans un rapport analogue à celui d'un instigateur vis- à-vis d'une personne instiguée (M. DUPUIS / L. MOREILLON / C. PIGUET / S. BERGER / M. MAZOU / V. RODIGARI (éds), Code pénal - Petit commentaire, 2e éd., Bâle 2017, n. 12 ad art. 114) L'instigation (art. 24 CP) est le fait de décider intentionnellement autrui à commettre une infraction intentionnelle (M. DUPUIS / L. MOREILLON / C. PIGUET / S. BERGER / M. MAZOU / V. RODIGARI (éds), op.cit., n. 1 ad art. 24). L'art. 180 CP punit, sur plainte, celui qui, par une menace grave, aura alarmé ou effrayé une personne.</w:t>
      </w:r>
    </w:p>
    <w:p>
      <w:r>
        <w:rPr>
          <w:b/>
        </w:rPr>
        <w:t>E. 4.3</w:t>
      </w:r>
    </w:p>
    <w:p>
      <w:r>
        <w:t>En l'espèce, les recourants rapportent dans leur plainte que C______ aurait demandé à son frère de lui "rendre service et de le tuer". Ce cas de figure, à supposer</w:t>
      </w:r>
    </w:p>
    <w:p>
      <w:r>
        <w:t>- 5/8 - P/18619/2019 que le précité ait réellement eu l'intention de mourir, est celui de l'art. 114 CP et non d'une instigation à meurtre au sens des art. 24 et 111 CP. Le recourant, s'il était passé à l'acte, aurait été prévenu et non victime. La recourante, quant à elle, n'aurait pas pour autant le statut de victime. Les recourants n'ont ainsi pas le statut de lésé en lien avec une tentative d'homicide. Ils expliquent, en réalité, que A______ s'était, rétrospectivement senti menacé par l'attitude de son frère et on peut considérer, de manière très large, que la recourante se soit également sentie menacée. Dans cette mesure, les recourants bénéficient de la qualité pour recourir contre l'ordonnance de non-entrée en matière.</w:t>
      </w:r>
    </w:p>
    <w:p>
      <w:r>
        <w:rPr>
          <w:b/>
        </w:rPr>
        <w:t>E. 5</w:t>
      </w:r>
    </w:p>
    <w:p>
      <w:r>
        <w:t>Les recourants reprochent au Ministère public de ne pas avoir ouvert une procédure préliminaire.</w:t>
      </w:r>
    </w:p>
    <w:p>
      <w:r>
        <w:rPr>
          <w:b/>
        </w:rPr>
        <w:t>E. 5.1</w:t>
      </w:r>
    </w:p>
    <w:p>
      <w:r>
        <w:t>Selon l'art. 310 al. 1 CPP, le ministère public rend immédiatement une ordonnance de non-entrée en matière s'il ressort notamment de la dénonciation que les éléments constitutifs de l'infraction ne sont manifestement pas réunis (let. a); qu'il existe des empêchements de procéder (let. b). Aux termes de l'art. 31 CP, le droit de porter plainte se prescrit par trois mois. Le délai court du jour où l'ayant droit a connu l'auteur de l'infraction. Ce délai commence à courir le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L'observation du délai de plainte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5.2</w:t>
      </w:r>
    </w:p>
    <w:p>
      <w:r>
        <w:t>En l'espèce, les faits se sont déroulés le 1er novembre 2017 de sorte que la plainte des recourants est tardive. Partant, l'empêchement de procéder devait conduire au prononcer d'une ordonnance de non-entrée en matière. Justifiée, l'ordonnance querellée sera donc confirmée, sous cet angle également.</w:t>
      </w:r>
    </w:p>
    <w:p>
      <w:r>
        <w:rPr>
          <w:b/>
        </w:rPr>
        <w:t>E. 6</w:t>
      </w:r>
    </w:p>
    <w:p>
      <w:r>
        <w:t>A______ recours contre le refus de le mettre au bénéfice de l'assistance judiciaire.</w:t>
      </w:r>
    </w:p>
    <w:p>
      <w:r>
        <w:t>- 6/8 - P/18619/2019</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En l'espèce, la cause du recourant était vouée à l'échec, ne serait-ce qu'au regard de la tardiveté de sa plainte. C'est à bon droit, par substitution de motifs, que sa requête a été rejetée par le Procureur.</w:t>
      </w:r>
    </w:p>
    <w:p>
      <w:r>
        <w:rPr>
          <w:b/>
        </w:rPr>
        <w:t>E. 7</w:t>
      </w:r>
    </w:p>
    <w:p>
      <w:r>
        <w:t>Les recourants, qui succombent, supporteront, conjointement et solidairement (art. 418 al. 2 CPP), les frais envers l'État, qui comprendront un émolument de CHF 1'000.- (art. 428 al. 1 CPP et 13 al. 1 du Règlement fixant le tarif des frais en matière pénale, RTFMP ; E 4 10.03). * * * * *</w:t>
      </w:r>
    </w:p>
    <w:p>
      <w:r>
        <w:t>- 7/8 - P/18619/2019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