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ACPR/911/2020 vom 26. Oktober 2020</w:t>
      </w:r>
    </w:p>
    <w:p>
      <w:r>
        <w:t>GE Cour de justice, 2020-10-26, FR</w:t>
      </w:r>
    </w:p>
    <w:p>
      <w:r>
        <w:rPr>
          <w:b/>
        </w:rPr>
        <w:t xml:space="preserve">Quelle: </w:t>
      </w:r>
      <w:r>
        <w:t>https://mcp.opencaselaw.ch/entscheid/ge_gerichte_ACPR_911_2020</w:t>
      </w:r>
    </w:p>
    <w:p>
      <w:r>
        <w:t>FR: GE_GERICHTE ACPR/911/2020 du 26 octobre 2020</w:t>
      </w:r>
    </w:p>
    <w:p>
      <w:r>
        <w:t>IT: GE_GERICHTE ACPR/911/2020 del 26 ottobre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est recevable pour avoir été déposé selon la forme et dans le délai prescrits (art. 385 al. 1 et 396 al. 1 CPP) et concerner une décision sujette à recours auprès de la Chambre de céans (art. 393 al. 1 let. a CPP).</w:t>
      </w:r>
    </w:p>
    <w:p>
      <w:r>
        <w:rPr>
          <w:b/>
        </w:rPr>
        <w:t>E. 1.2</w:t>
      </w:r>
    </w:p>
    <w:p>
      <w:r>
        <w:t>Le prévenu n'a pas la qualité pour recourir en vue d'augmenter une indemnité due à son défenseur d'office jugée trop basse, faute d'intérêt juridique (382 al. 1 CPP). C'est donc au seul défenseur qu'il appartient d'agir (A. KUHN / Y. JEANNERET / C. PERRIER DEPEURSINGE (éds), Commentaire romand : Code de procédure pénale suisse, 2ème éd., Bâle 2019, n. 38 ad art. 135). Le recourant l'admet du reste lui-même. Partant, son recours est irrecevable en tant qu'il conclut à l'annulation de l'ordonnance d'indemnisation du 26 octobre 2020 et à ce que l'indemnisation de son avocate soit fixée à 13h05 (au lieu de 9h05) pour son activité en première instance.</w:t>
      </w:r>
    </w:p>
    <w:p>
      <w:r>
        <w:rPr>
          <w:b/>
        </w:rPr>
        <w:t>E. 1.3</w:t>
      </w:r>
    </w:p>
    <w:p>
      <w:r>
        <w:t>Le prévenu, qui est partie à la procédure (art. 104 al. 1 let. b CPP), a toutefois qualité pour recourir contre le refus implicite du Ministère public de le mettre au bénéfice d'une défense d'office antérieurement au 17 janvier 2019, ayant un intérêt juridiquement protégé à la modification ou à l'annulation de la décision querellée sur ce point (art. 382 al. 1 CPP).</w:t>
      </w:r>
    </w:p>
    <w:p>
      <w:r>
        <w:rPr>
          <w:b/>
        </w:rPr>
        <w:t>E. 2.1</w:t>
      </w:r>
    </w:p>
    <w:p>
      <w:r>
        <w:t>Il est admis que l'octroi de l'assistance juridique rétroagit à la date du dépôt de la demande (A. KUHN / Y. JEANNERET / C. PERRIER DEPEURSINGE (éds), op. cit., n. 18 ad art. 132). C'est cette solution qui prévaut également à Genève (art. 5 al. 1 RAJ).</w:t>
      </w:r>
    </w:p>
    <w:p>
      <w:r>
        <w:rPr>
          <w:b/>
        </w:rPr>
        <w:t>E. 2.2</w:t>
      </w:r>
    </w:p>
    <w:p>
      <w:r>
        <w:t>En l'espèce, l'ordonnance de nomination d'avocat d'office du 9 octobre 2020 ne mentionne pas la prise d'effet de la nomination d'office ni ne la limite.</w:t>
      </w:r>
    </w:p>
    <w:p>
      <w:r>
        <w:t>Le recourant prétend qu'il était fondé à déduire qu'il pourrait en bénéficier dès le dépôt de sa requête, qu'il fait remonter au 27 novembre 2018, raison pour laquelle il n'avait pas recouru contre cette décision.</w:t>
      </w:r>
    </w:p>
    <w:p>
      <w:r>
        <w:t>Cet argument n'est pas dénué de pertinence. Si le Ministère public entendait faire partir la prise d'effet de la nomination d'office au 17 janvier 2019 – comme cela résulte de la décision d'indemnisation querellée – il lui appartenait de le préciser, ce qui aurait permis, le cas échéant, au recourant de contester l'ordonnance de nomination d'avocat d'office.</w:t>
      </w:r>
    </w:p>
    <w:p>
      <w:r>
        <w:t>Toutefois, si une instruction a effectivement été ouverte contre le recourant le 22 août 2018, ce n'est qu'après avoir été contacté par la police qui souhaitait</w:t>
      </w:r>
    </w:p>
    <w:p>
      <w:r>
        <w:t>- 5/6 - P/15871/2018 l'auditionner comme prévenu que le recourant a pu prendre concrètement les mesures nécessaires à sa défense. Son avocate, dans son courrier du 16 janvier 2019 adressé au Ministère public, a du reste sollicité d'être nommée d'office à sa défense, sans soutenir que la prise d'effet de la défense d'office devait rétroagir à autre date antérieure en raison d'une quelconque activité de sa part. Le fait qu'elle aurait œuvré pour que le recourant consente à collaborer avec la justice n'est donc pas pertinent ici, étant relevé que dans sa réponse du 17 janvier 2019, le Ministère public s'est référé à sa "demande du 16 janvier 2019", sans que cela ne suscite de réaction de sa part.</w:t>
      </w:r>
    </w:p>
    <w:p>
      <w:r>
        <w:t>Il y a ainsi lieu de considérer que la défense d'office octroyée doit prendre effet au 16 janvier 2019, et non au 27 novembre 2018 comme le soutient le recourant.</w:t>
      </w:r>
    </w:p>
    <w:p>
      <w:r>
        <w:t>Le Ministère public ayant retenu la date du 17 janvier 2019, le recours sera admis sur ce point.</w:t>
      </w:r>
    </w:p>
    <w:p>
      <w:r>
        <w:t>La cause sera renvoyée au Ministère public pour qu'il complète, le cas échéant, sa décision d'indemnisation du 26 octobre 2020 dans le sens de ce qui précède.</w:t>
      </w:r>
    </w:p>
    <w:p>
      <w:r>
        <w:rPr>
          <w:b/>
        </w:rPr>
        <w:t>E. 3</w:t>
      </w:r>
    </w:p>
    <w:p>
      <w:r>
        <w:t>Le recours sera dès lors partiellement admis, dans la mesure de sa recevabilité.</w:t>
      </w:r>
    </w:p>
    <w:p>
      <w:r>
        <w:rPr>
          <w:b/>
        </w:rPr>
        <w:t>E. 4</w:t>
      </w:r>
    </w:p>
    <w:p>
      <w:r>
        <w:t>Il sera statué sans frais.</w:t>
      </w:r>
    </w:p>
    <w:p>
      <w:r>
        <w:rPr>
          <w:b/>
        </w:rPr>
        <w:t>E. 5</w:t>
      </w:r>
    </w:p>
    <w:p>
      <w:r>
        <w:t>Le recourant, assisté d'un avocat d'office, conclut à l'allocation d'une indemnité correspondant à 1h45 d'activité pour la rédaction du recours, plus forfait 20% et TVA.</w:t>
      </w:r>
    </w:p>
    <w:p>
      <w:r>
        <w:t>Quand bien même la note d'honoraires produite fait état de 2h30 d'activité pour le recours, seules les conclusions du mémoire de recours seront prises en compte.</w:t>
      </w:r>
    </w:p>
    <w:p>
      <w:r>
        <w:t>Compte tenu du travail accompli par son conseil – dont seule une partie des argument a été accueillie favorablement –, l'indemnisation de ce dernier sera réduite à 1h15 au tarif horaire de CHF 200.-, soit CHF 269.25, TVA 7.7% comprise, le forfait de 20% ne se justifiant pas en instance de recours (ACPR/762/2018 du 14 décembre 2018). * * * * *</w:t>
      </w:r>
    </w:p>
    <w:p>
      <w:r>
        <w:t>- 6/6 - P/15871/2018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