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ACPR/90/2023 vom 26. Dezember 2022</w:t>
      </w:r>
    </w:p>
    <w:p>
      <w:r>
        <w:t>GE Cour de justice, 2022-12-26, FR</w:t>
      </w:r>
    </w:p>
    <w:p>
      <w:r>
        <w:rPr>
          <w:b/>
        </w:rPr>
        <w:t xml:space="preserve">Quelle: </w:t>
      </w:r>
      <w:r>
        <w:t>https://mcp.opencaselaw.ch/entscheid/ge_gerichte_ACPR_90_2023</w:t>
      </w:r>
    </w:p>
    <w:p>
      <w:r>
        <w:t>FR: GE_GERICHTE ACPR/90/2023 du 26 décembre 2022</w:t>
      </w:r>
    </w:p>
    <w:p>
      <w:r>
        <w:t>IT: GE_GERICHTE ACPR/90/2023 del 26 dicembre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TMC d'avoir usé de "copier-coller" non transposables à son cas et invoque une violation du droit à une décision motivée.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w:t>
      </w:r>
    </w:p>
    <w:p>
      <w:r>
        <w:rPr>
          <w:b/>
        </w:rPr>
        <w:t>E. 2.2</w:t>
      </w:r>
    </w:p>
    <w:p>
      <w:r>
        <w:t>En l'espèce, si certains passages critiqués de l'ordonnance résultent certes manifestement de malencontreux "copier-coller", il n'apparaît pas que la motivation du premier juge sur les éléments topiques soit déficiente. La Chambre de céans disposant d'un plein pouvoir de cognition et le recourant ayant pu à nouveau faire valoir ses moyens ici, l'éventuelle violation du droit d'être entendu alléguée sera considérée comme réparée. 3. Le recourant ne conteste pas les charges qui lui ont été signifiées par le Ministère public à l'audience du 24 décembre 2022, constitutives de tentative de brigandage (art. 140 cum 22 CP), voire de tentative de brigandage en bande (art. 140 ch. 3 cum 22 CP), et d'infraction à l'art. 95 al. 1 let. a LCR, même s'il en minimise la gravité. Partant, il n'y pas lieu d'y revenir. Les charges de tentative de brigandage, voire tentative de brigandage en bande, étant suffisantes au sens de l'art. 221 al. 1 CPP pour justifier la mise en détention provisoire, il n'est pas déterminant que la demande d'extradition n'ait pas été étendue à l'infraction à la LCR et le TMC n'avait pas à se prononcer sur la règle de la spécialité.</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recourant a déclaré qu'une fois remis en liberté, il retournerait chez lui en Italie. Dénué de toute attache sur notre sol, il existe dès lors bel et bien un risque que l'intéressé se soustraie à la procédure pénale et ne comparaisse pas à l'audience de jugement. Ce risque est renforcé par la peine menace et concrète encourue, étant rappelé qu'un brigandage aggravé au sens de l'art. 140 ch. 3 CP est passible d'une peine privative de liberté minimale de deux ans (susceptible d'être réduite en cas de tentative).</w:t>
      </w:r>
    </w:p>
    <w:p>
      <w:r>
        <w:t>- 8/13 - P/9395/2022 Les mesures de substitution proposées par le recourant devant le TMC et reprises ici (obligation de rester en contact avec son conseil, ce dernier devant en tout temps pouvoir le joindre, obligation d'informer le Ministère public de tout changement d'adresse et obligation de déférer à toute convocation du Pouvoir judiciaire), en tant qu'elles ne reposent que sur sa seule volonté, ne constituent pas des palliatifs suffisants, vu les enjeux pour lui, étant rappelé que c'est à la suite de la diffusion d'un avis de recherche et d'arrestation international qu'il a pu être interpellé. Le recourant ne saurait ainsi opérer des parallèles entre sa situation et celles d'autres prévenus, dans d'autres procédures, qui auraient été mis au bénéfice de mesures de substitution identiques.</w:t>
      </w:r>
    </w:p>
    <w:p>
      <w:r>
        <w:rPr>
          <w:b/>
        </w:rPr>
        <w:t>E. 5</w:t>
      </w:r>
    </w:p>
    <w:p>
      <w:r>
        <w:t>Le recourant conteste le risque de récidive, arguant que son casier italien n'était pas déterminant car se référant à des infractions commises alors qu'il était mineur.</w:t>
      </w:r>
    </w:p>
    <w:p>
      <w:r>
        <w:rPr>
          <w:b/>
        </w:rPr>
        <w:t>E. 5.1</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rPr>
          <w:b/>
        </w:rPr>
        <w:t>E. 5.2</w:t>
      </w:r>
    </w:p>
    <w:p>
      <w:r>
        <w:t>En l'occurrence, la tentative de brigandage reprochée, admise par le recourant, apparaît suffisamment grave pour qu'un risque de récidive puisse être retenu. À cela s'ajoute qu'à teneur du dossier, l'intéressé a été extradé depuis l'Allemagne, où il était en détention pour des faits similaires commis postérieurement à ceux faisant l'objet de la présente procédure pénale. Partant, il existe un risque de réitération concret, accentué par la situation personnelle précaire du recourant, qui est sans emploi. Aucune mesure de substitution n'est à même de pallier ce risque, le recourant n'en proposant du reste pas.</w:t>
      </w:r>
    </w:p>
    <w:p>
      <w:r>
        <w:rPr>
          <w:b/>
        </w:rPr>
        <w:t>E. 6</w:t>
      </w:r>
    </w:p>
    <w:p>
      <w:r>
        <w:t>L'admission de ces risques dispense d'examiner si s'y ajoute un risque de collusion.</w:t>
      </w:r>
    </w:p>
    <w:p>
      <w:r>
        <w:rPr>
          <w:b/>
        </w:rPr>
        <w:t>E. 7</w:t>
      </w:r>
    </w:p>
    <w:p>
      <w:r>
        <w:t>Le recourant allègue une violation des principes de célérité et de proportionnalité.</w:t>
      </w:r>
    </w:p>
    <w:p>
      <w:r>
        <w:t>- 9/13 - P/9395/2022</w:t>
      </w:r>
    </w:p>
    <w:p>
      <w:r>
        <w:rPr>
          <w:b/>
        </w:rPr>
        <w:t>E. 7.1</w:t>
      </w:r>
    </w:p>
    <w:p>
      <w:r>
        <w:t>L'art. 29 al. 1 Cst. prévoit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7.2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7.3</w:t>
      </w:r>
    </w:p>
    <w:p>
      <w:r>
        <w:t>En l'espèce, prise dans son ensemble, la procédure ne paraît pas violer le principe de la célérité. Le recourant a certes d'emblée admis les faits. Dans la mesure toutefois où il est établi qu'il n'a pas agi seul et où il n'a fourni aucun élément permettant d'identifier ses comparses, il ne saurait reprocher au Ministère public de poursuivre ses investigations à cette fin.</w:t>
      </w:r>
    </w:p>
    <w:p>
      <w:r>
        <w:t>- 10/13 - P/9395/2022 Le rapport de police du 10 janvier 2023 expose que le prévenu serait revenu à Genève en avril 2022 avec I______, J______ et D______ – ce dernier ayant été arrêté en flagrant délit de vol avec le prévenu à O______ le 22 juillet 2022 – vraisemblablement dans un but délictuel. Les investigations, dont des prélèvements biologiques, se poursuivent dès lors pour confondre éventuellement les prénommés dans le cadre de la tentative de brigandage du 26 janvier 2022, voire avec d'autres cas similaires recensés entre janvier et avril 2022. Si d'aventure, la participation du prévenu à d'autres infractions venait à être mise en évidence par les actes d'enquête diligentés, le Ministère public pourra solliciter une extension de la demande d'extradition auprès des autorités allemandes. On n'en est toutefois pas là, de sorte qu'on ne voit pas en quoi l'instruction violerait le principe de la spécialité à ce stade. Quant à l'audience de confrontation du 10 février prochain, il n'apparaît pas que le Ministère public ait tardé à la convoquer. En tant que le recourant a agi avec des comparses non formellement identifiés, on ne voit pas non plus que cet acte soit inutile, quand bien même l'intéressé a reconnu les faits. La cadence de l’instruction respecte au surplus les principes jurisprudentiels sus- rappelés, de sorte qu'on ne décèle aucune violation du principe de célérité. Sous l'angle du principe de la proportionnalité, on relève qu'à ce stade, la peine encourue concrètement par le recourant, si les faits pour lesquels il a été mis en prévention devaient être retenus par l'autorité de jugement, dépasse largement la durée de la détention provisoire subie à ce jour et à l'échéance fixée. La durée ordonnée est en l'état nécessaire pour permettre au Ministère public de recueillir le résultat des analyses en cours, d'entendre le prévenu sur celui-ci et de décider de la suite à donner à la procédure, voire pour la clôturer par un renvoi en jugement. Il n'y a ainsi pas lieu de revoir cette durée à la baisse. Le principe de la proportionnalité est respecté.</w:t>
      </w:r>
    </w:p>
    <w:p>
      <w:r>
        <w:rPr>
          <w:b/>
        </w:rPr>
        <w:t>E. 8</w:t>
      </w:r>
    </w:p>
    <w:p>
      <w:r>
        <w:t>Le recours s'avère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w:t>
      </w:r>
    </w:p>
    <w:p>
      <w:r>
        <w:t>- 11/13 - P/9395/2022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 * * * *</w:t>
      </w:r>
    </w:p>
    <w:p>
      <w:r>
        <w:t>- 12/13 - P/9395/2022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