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ACPR/90/2022 vom 3. November 2021</w:t>
      </w:r>
    </w:p>
    <w:p>
      <w:r>
        <w:t>GE Cour de justice, 2021-11-03, FR</w:t>
      </w:r>
    </w:p>
    <w:p>
      <w:r>
        <w:rPr>
          <w:b/>
        </w:rPr>
        <w:t xml:space="preserve">Quelle: </w:t>
      </w:r>
      <w:r>
        <w:t>https://mcp.opencaselaw.ch/entscheid/ge_gerichte_ACPR_90_2022</w:t>
      </w:r>
    </w:p>
    <w:p>
      <w:r>
        <w:t>FR: GE_GERICHTE ACPR/90/2022 du 3 novembre 2021</w:t>
      </w:r>
    </w:p>
    <w:p>
      <w:r>
        <w:t>IT: GE_GERICHTE ACPR/90/2022 del 3 novembre 2021</w:t>
      </w:r>
    </w:p>
    <w:p>
      <w:pPr>
        <w:pStyle w:val="Heading2"/>
      </w:pPr>
      <w:r>
        <w:t>Erwägungen</w:t>
      </w:r>
    </w:p>
    <w:p>
      <w:r>
        <w:rPr>
          <w:b/>
        </w:rPr>
        <w:t>E. 1</w:t>
      </w:r>
    </w:p>
    <w:p>
      <w:r>
        <w:t>Le recours est recevable pour avoir été déposé selon la forme et – les réquisits de l'art. 85 al. 2 CPP n’ayant pas été respectés – dans le délai prescrits (art. 385 al. 1 et 396 al. 1 CPP), concerner une décision sujette à recours auprès de la Chambre de céans – cristallisée dans le courrier du Ministère public du 3 novembre 2021, en tant qu'il refuse d'écarter du dossier les pièces relatives à la commission rogatoire du 18 mai 2021 (art. 393 al. 1 let. a CPP) – et émaner du prévenu qui, partie à la procédure (art. 104 al. 1 let. a CPP), a qualité pour agir, ayant un intérêt juridiquement protégé (art. 382 al. 1 CPP) à la modification de la décision querellée,</w:t>
      </w:r>
    </w:p>
    <w:p>
      <w:r>
        <w:t>- 5/9 - P/21769/2020 en l'occurrence au retrait immédiat de moyens preuves qu'il tient pour inexploitables (arrêt du Tribunal fédéral 1B_485/2021 du 26 novembre 2021, consid. 2.4.3).</w:t>
      </w:r>
    </w:p>
    <w:p>
      <w:r>
        <w:rPr>
          <w:b/>
        </w:rPr>
        <w:t>E. 2</w:t>
      </w:r>
    </w:p>
    <w:p>
      <w:r>
        <w:t>Le recourant fait grief au Ministère public d'avoir violé les art. 147, 148 CPP et plus généralement, son droit d'être entendu prévu à l'art. 29 Cst. dans le cadre de la commission rogatoire du 18 mai 2021.</w:t>
      </w:r>
    </w:p>
    <w:p>
      <w:r>
        <w:rPr>
          <w:b/>
        </w:rPr>
        <w:t>E. 2.1</w:t>
      </w:r>
    </w:p>
    <w:p>
      <w:r>
        <w:t>L'art. 147 al. 1 1ère phr. CPP consacre le principe de l'administration des preuves en présence des parties durant la procédure d'instruction et les débats. Il en ressort que les parties ont le droit d'assister à l'administration des preuves par le ministère public et les tribunaux et de poser des questions aux comparants (ATF 141 IV 220 = JdT 2016 IV 79; ATF 139 IV 25 = JdT 2013 IV 226; arrêt du Tribunal fédéral 1B_404/2012 du 4 décembre 2012). Ce droit spécifique de participer et de collaborer découle du droit d'être entendu (art. 29 al. 2 Cst., art. 107 al. 1 let. b CPP) ATF 140 IV 172 consid. 1.2.1 et 1.2.2 p. 174 ss). Le droit de participer concerne l’établissement des preuves (Beweisabnahme) notamment, outre les auditions, les reconstitutions, respectivement l’inspection ou les visions locales (art. 193 CPP). Ce droit ne s'étend cependant pas à la recherche ou la récolte de preuves, soit aux séquestres par exemple. Il faut en effet faire une distinction entre ce qui relève de l'administration des preuves récoltées et la recherche des preuves elle-même et leur sauvegarde (Beweissicherung) qui relèvent des mesures de contrainte (arrêt du Tribunal fédéral 6B_1345/2016 du 30 novembre 2017 consid. 5.3.; Y. JEANNERET / A. KUHN / C. PERRIER DEPEURSINGE (éds), Commentaire romand : Code de procédure pénale suisse, 2ème éd., Bâle 2019, n° 1 ad 147; L. MOREILLON / A. PAREIN-REYMOND, Petit commentaire CPP, Bâle 2016, n. 5 ad art. 147).</w:t>
      </w:r>
    </w:p>
    <w:p>
      <w:r>
        <w:rPr>
          <w:b/>
        </w:rPr>
        <w:t>E. 2.2</w:t>
      </w:r>
    </w:p>
    <w:p>
      <w:r>
        <w:t>Lorsque l'administration des preuves a lieu à l’étranger par commission rogatoire, le droit de participation des parties est réglé par l'art. 148 al. 1 CPP, prévoyant que le droit de participer des parties est satisfait lorsqu'elles peuvent adresser des questions à l'autorité étrangère requise, consulter le procès-verbal de l'administration des preuves effectuée par commission rogatoire et poser par écrit des questions complémentaires. Ainsi, les parties ont, premièrement, le droit d'adresser des questions à la direction de la procédure, à l'intention de l'autorité étrangère requise. En outre, après consultation du procès-verbal de l'administration des preuves exécutée par commission rogatoire, elles peuvent poser des questions complémentaires (Message relatif à l'unification du droit de la procédure pénale du 21 décembre 2005, FF 2006 1057 ss, spéc. 1167).</w:t>
      </w:r>
    </w:p>
    <w:p>
      <w:r>
        <w:rPr>
          <w:b/>
        </w:rPr>
        <w:t>E. 2.3</w:t>
      </w:r>
    </w:p>
    <w:p>
      <w:r>
        <w:t>Dans l'arrêt ACPR/525/2021, la Chambre de céans a retenu que les art. 147 et 148 CPP ne s'appliquaient pas dans le cadre d'une commission rogatoire adressée par le Ministère public à un État étranger en vue d'obtenir divers documents (procès-</w:t>
      </w:r>
    </w:p>
    <w:p>
      <w:r>
        <w:t>- 6/9 - P/21769/2020 verbaux d'auditions, relevés bancaires), sans demander l'audition d'aucune personne (consid. 2.3).</w:t>
      </w:r>
    </w:p>
    <w:p>
      <w:r>
        <w:rPr>
          <w:b/>
        </w:rPr>
        <w:t>E. 2.4</w:t>
      </w:r>
    </w:p>
    <w:p>
      <w:r>
        <w:t>En l'espèce, la demande d'entraide du 18 mai 2021 visait à obtenir des "données pertinentes concernant les communications échangées via l'application cryptée E______". Les informations obtenues en retour ont consisté en des données de téléphonie, à savoir les messages envoyés et reçus depuis le téléphone crypté du recourant, lesquels ont par la suite fait l'objet du rapport de synthèse du 1er septembre 2021. Aucune personne n'a été entendue au demeurant. La commission rogatoire s'apparentait ainsi à des mesures de type ordre de dépôt ou séquestre, régulièrement exécutées en Suisse, visant la recherche et la collecte de preuves. En cela, les circonstances ne diffèrent pas de celles de l'arrêt susmentionné et le même constat s'impose, à savoir que les art. 147 et 148 CPP ne s'appliquaient pas à la demande d'entraide contestée. Par conséquent, le grief sera rejeté, ce qui rend vain l'examen de l'exploitabilité des preuves en question.</w:t>
      </w:r>
    </w:p>
    <w:p>
      <w:r>
        <w:rPr>
          <w:b/>
        </w:rPr>
        <w:t>E. 3</w:t>
      </w:r>
    </w:p>
    <w:p>
      <w:r>
        <w:t>Le recourant reproche au Ministère public un excès et/ou un abus du pouvoir d'appréciation.</w:t>
      </w:r>
    </w:p>
    <w:p>
      <w:r>
        <w:rPr>
          <w:b/>
        </w:rPr>
        <w:t>E. 3.1</w:t>
      </w:r>
    </w:p>
    <w:p>
      <w:r>
        <w:t>Aux termes de l'art. 101 al. 1 CPP, les parties peuvent, sous réserve de l'art. 108 al. 1 CPP, consulter le dossier d'une procédure pénale pendante, au plus tard après la première audition du prévenu et l'administration des preuves principales par le ministère public. La formulation ouverte de l'art. 101 al. 1 CPP confère à la direction de la procédure un certain pouvoir d'appréciation qu'il convient, en principe, de respecter. L'autorité compétente ne saurait cependant différer indéfiniment la consultation du dossier en se fondant sur cette disposition, mais doit établir que l'accès au dossier est susceptible de compromettre l'instruction et exposer les "preuves importantes" qui devaient être administrées auparavant (ATF 137 IV 280 consid. 2.3 p. 284). Les preuves principales au sens de l'art. 101 CPP sont des moyens de preuve sans l'administration desquels la vérité matérielle ne peut pas être établie ou la procédure ne peut pas être close par une mise en accusation, un non-lieu ou une ordonnance pénale. Comme principales preuves, on peut également citer la réalisation de perquisitions et de saisies, l'édition de documents bancaires, l'obtention de rapports de police scientifique et d'expertises médico-légales. L'établissement des preuves les plus importantes peut également comprendre la première présentation des résultats déterminants des preuves ou des preuves recueillies (A. DONATSCH / V. LIEBER / S. SUMMERS / W. WOHLERS (éds), Kommentar zur Schweizerischen</w:t>
      </w:r>
    </w:p>
    <w:p>
      <w:r>
        <w:t>- 7/9 - P/21769/2020 Strafprozessordnung (StPO), 3e éd., Zürich 2020, n. 5 ad art. 101; Y. JEANNERET / A. KUHN / C. PERRIER DEPEURSINGE (éds), op. cit., n. 4b ad art. 101).</w:t>
      </w:r>
    </w:p>
    <w:p>
      <w:r>
        <w:rPr>
          <w:b/>
        </w:rPr>
        <w:t>E. 3.2</w:t>
      </w:r>
    </w:p>
    <w:p>
      <w:r>
        <w:t>En l'espèce, le recourant estime que le maintien hors de la procédure des pièces relatives à la commission rogatoire du 18 mai 2021 ne se justifiait pas. La nature même de l'application de cryptage installée sur le téléphone saisi et les risques concrets de voir toutes les données supprimées instantanément, sans même que le prévenu ne doive avoir l'appareil entre les mains, nécessitaient une discrétion quant aux actes d'enquêtes entrepris pour obtenir les informations recherchées. Ainsi, il était justifié de garder "secrets" la demande d'entraide et le mandat d'acte d'enquête dans un premier temps, d'autant plus vu l'enquête sur un trafic international de stupéfiants. Par la suite, le Ministère public n'a pas versé les données reçues des autorités françaises jusqu'à obtenir le rapport de synthèse, lequel a dû se révéler chronophage compte tenu de la quantité de messages qui ont, de plus, nécessité une traduction. Six jours après réception dudit rapport, il a mandaté la police pour entendre le recourant sur ces nouvelles pièces, ce qui aurait vraisemblablement conduit à leur versement à la procédure. Le maintien des pièces litigieuses hors du dossier consultable procédait ainsi de motifs fondés. Force est donc de constater que la position du Ministère public, qui a agi avec diligence, ne prête pas le flanc à la critique. Partant, le grief est rejeté.</w:t>
      </w:r>
    </w:p>
    <w:p>
      <w:r>
        <w:rPr>
          <w:b/>
        </w:rPr>
        <w:t>E. 4</w:t>
      </w:r>
    </w:p>
    <w:p>
      <w:r>
        <w:t>Justifiée, la décision déférée sera donc confirmée.</w:t>
      </w:r>
    </w:p>
    <w:p>
      <w:r>
        <w:rPr>
          <w:b/>
        </w:rPr>
        <w:t>E. 5</w:t>
      </w:r>
    </w:p>
    <w:p>
      <w:r>
        <w:t>Le recourant, qui succombe, supportera les frais envers l'État, fixés en totalité à CHF 900.- (art. 428 al. 1 CPP et 13 al. 1 du Règlement fixant le tarif des frais en matière pénale, RTFMP ; E 4 10.03), bien qu'il bénéficie d'une défense d'office (art. 135 al. 4 et 428 CPP; arrêt du Tribunal fédéral 6B_380/2013 du 16 janvier 2014, consid. 5).</w:t>
      </w:r>
    </w:p>
    <w:p>
      <w:r>
        <w:rPr>
          <w:b/>
        </w:rPr>
        <w:t>E. 6</w:t>
      </w:r>
    </w:p>
    <w:p>
      <w:r>
        <w:t>Il n'y a pas lieu d'indemniser à ce stade le défenseur d'office (art. 135 al. 2 CPP), la procédure n'étant pas terminée. * * * * *</w:t>
      </w:r>
    </w:p>
    <w:p>
      <w:r>
        <w:t>- 8/9 - P/21769/2020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