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ACPR/907/2025 vom 2. Oktober 2025</w:t>
      </w:r>
    </w:p>
    <w:p>
      <w:r>
        <w:t>GE Cour de justice, 2025-10-02, FR</w:t>
      </w:r>
    </w:p>
    <w:p>
      <w:r>
        <w:rPr>
          <w:b/>
        </w:rPr>
        <w:t xml:space="preserve">Quelle: </w:t>
      </w:r>
      <w:r>
        <w:t>https://mcp.opencaselaw.ch/entscheid/ge_gerichte_ACPR_907_2025</w:t>
      </w:r>
    </w:p>
    <w:p>
      <w:r>
        <w:t>FR: GE_GERICHTE ACPR/907/2025 du 2 octobre 2025</w:t>
      </w:r>
    </w:p>
    <w:p>
      <w:r>
        <w:t>IT: GE_GERICHTE ACPR/907/2025 del 2 ottobre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recevable pour avoir été déposé selon la forme et dans le délai prescrits (art. 385 al. 1 et 396 al. 1 CPP), concerner une ordonnance sujette à recours auprès de la Chambre de céans (art. 393 al. 1 let. a CPP) et émaner du prévenu qui, partie à la procédure (art. 104 al. 1 let. a CPP), a qualité pour agir, ayant un intérêt juridiquement protégé à la modification ou à l'annulation de la décision querellée (art. 382 al. 1 CPP).</w:t>
      </w:r>
    </w:p>
    <w:p>
      <w:r>
        <w:rPr>
          <w:b/>
        </w:rPr>
        <w:t>E. 2</w:t>
      </w:r>
    </w:p>
    <w:p>
      <w:r>
        <w:t>La Chambre pénale de recours peut décider d'emblée de traiter sans échange d'écritures ni débats les recours manifestement irrecevables ou mal fondés (art. 390 al. 2 et</w:t>
      </w:r>
    </w:p>
    <w:p>
      <w:r>
        <w:rPr>
          <w:b/>
        </w:rPr>
        <w:t>E. 5</w:t>
      </w:r>
    </w:p>
    <w:p>
      <w:r>
        <w:t>La procédure de recours contre le refus de l'octroi de l'assistance juridique ne donne pas lieu à la perception de frais (art. 20 RAJ). * * * * *</w:t>
      </w:r>
    </w:p>
    <w:p>
      <w:r>
        <w:t>- 7/7 - P/4114/2025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