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ACPR/906/2024 vom 8. Oktober 2024</w:t>
      </w:r>
    </w:p>
    <w:p>
      <w:r>
        <w:t>GE Cour de justice, 2024-10-08, FR</w:t>
      </w:r>
    </w:p>
    <w:p>
      <w:r>
        <w:rPr>
          <w:b/>
        </w:rPr>
        <w:t xml:space="preserve">Quelle: </w:t>
      </w:r>
      <w:r>
        <w:t>https://mcp.opencaselaw.ch/entscheid/ge_gerichte_ACPR_906_2024</w:t>
      </w:r>
    </w:p>
    <w:p>
      <w:r>
        <w:t>FR: GE_GERICHTE ACPR/906/2024 du 8 octobre 2024</w:t>
      </w:r>
    </w:p>
    <w:p>
      <w:r>
        <w:t>IT: GE_GERICHTE ACPR/906/2024 del 8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 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w:t>
      </w:r>
    </w:p>
    <w:p>
      <w:r>
        <w:t>- 5/9 - P/20502/2024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du 25 juillet 2023 consid. 2.1.2).</w:t>
      </w:r>
    </w:p>
    <w:p>
      <w:r>
        <w:rPr>
          <w:b/>
        </w:rPr>
        <w:t>E. 2.3</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La Directive sur le retour poursuit la mise en place d'une politique efficace d'éloignement et de rapatriement fondée sur des normes communes, afin que les personnes concernées soient rapatriées de façon humaine et dans le respect intégral de leurs droits fondamentaux ainsi que leur dignité.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La Cour de justice de l'Union européenne a toutefois souligné que les ressortissants étrangers ayant, outre le séjour irrégulier, commis un ou plusieurs autres délits pouvaient, dans les hypothèses visées par l'art. 2 par. 2 let. b de la Directive sur le retour, c'est-à-dire en cas d'expulsion judiciaire prononcée comme sanction pénale ou de procédure d'extradition, être soustraits au champ d'application de ladite directive (arrêts du Tribunal fédéral 6B_196/2012 du 24 janvier 2013 consid. 2.1.1 ; 6B_320/2013 du 29 août 2013 consid. 3.2 et les références citées). Il ressort de la jurisprudence fédérale que lorsqu'une personne a déjà été condamnée pour des infractions à la LEI et que la question de son renvoi dans son pays d'origine a déjà été traitée, la cause peut être considérée comme ne présentant pas de difficultés</w:t>
      </w:r>
    </w:p>
    <w:p>
      <w:r>
        <w:t>- 6/9 - P/20502/2024 particulières en fait ou en droit justifiant l'intervention d'un avocat (arrêt du Tribunal fédéral 1B_68/2015 du 29 avril 2015 consid. 2.3). 2.4.1. L'art. 95 al. 1 let. a LCR punit d’une peine privative de liberté de trois ans au plus ou d’une peine pécuniaire celui qui conduit un véhicule automobile sans être titulaire du permis de conduire requis. En cas de violations des articles 42 à 44 OAC, portant sur les conducteurs de véhicules automobiles en provenance de l’étranger, l'art. 95 al. 1 let. a LCR s'applique (Y. JEANNERET, Les dispositions pénales de la Loi sur la circulation routière [LCR], Berne 2007, n. 9 ad art. 95). Dans le contexte de l'art. 95 al. 1 let. a LCR, est seule déterminante la question de savoir si l'autorisation de conduire a été accordée ou non par l'autorité, sans égard au fait que le document soit ou non en possession du conducteur. Le fait de ne pas être porteur du permis de conduire, en tant que document, est réprimé par le biais de l'art. 99 ch. 3 LCR (Y. JEANNERET, op. cit., n. 7 ad art. 95). Tant l'intention que la négligence sont punissables (art. 100 ch. 1 al. 1 LCR). 2.4.2. Selon l'art. 42 al. 3bis let. a OAC, les conducteurs de véhicules automobiles en provenance de l'étranger qui résident depuis plus de douze mois en Suisse sans avoir séjourné plus de trois mois consécutifs à l'étranger sont tenus d'obtenir un permis de conduire suisse. La validité du permis national est donc limitée à ses conditions (ATF 129 II 175 consid. 2.2). Un conducteur qui conduit un véhicule automobile alors qu'il se trouve dans la situation décrite à l'art. 42 al. 3bis let. a OAC et que, ce nonobstant, il n'a pas sollicité un permis suisse, encourt exclusivement la sanction de l'art. 147 ch. 1 al. 1 OAC (Y. JEANNERET, op. cit., n. 65 ad art. 95 ; C. MIZEL, Droit et pratique illustrée du retrait du permis de conduire, Berne 2015, p. 517).</w:t>
      </w:r>
    </w:p>
    <w:p>
      <w:r>
        <w:rPr>
          <w:b/>
        </w:rPr>
        <w:t>E. 2.5</w:t>
      </w:r>
    </w:p>
    <w:p>
      <w:r>
        <w:t>En l'espèce, la question de l'indigence du recourant, non examinée par le Ministère public dans l'ordonnance querellée, peut demeurer indécise au vu de ce qui suit. En l'état, le recourant a fait l'objet d'une ordonnance pénale, le 6 septembre 2024 – à laquelle il a formé opposition – le condamnant à une peine privative de liberté de 120 jours, assortie du sursis, de sorte que la cause est de peu de gravité. Même si l'on tient compte d'un éventuel risque d'aggravation de la peine par le Tribunal de police – dans la mesure où le Ministère public maintiendrait son ordonnance pénale et transmettrait le dossier à cette juridiction –, force est de constater que le recourant resterait, nonobstant ses deux antécédents judiciaires en Suisse, concrètement passible d'une peine moins élevée que celle au-delà de laquelle on peut considérer que l'affaire n'est pas de peu de gravité selon l'art. 132 al. 3 CPP. Il sied de rappeler que les peines abstraitement encourues ne sont pas déterminantes dans l'examen de la gravité de la</w:t>
      </w:r>
    </w:p>
    <w:p>
      <w:r>
        <w:t>- 7/9 - P/20502/2024 cause. La révocation du sursis prononcé le 7 janvier 2020, à la peine de 60 jours- amende, dont le délai d'épreuve a été prolongé au 6 janvier 2024, s'avère peu probable, ce qui est d'ailleurs la position du Ministère public aux termes de son ordonnance pénale. En outre, l'examen des circonstances du cas d'espèce permet de retenir que la cause ne présente pas de difficultés particulières, du point de vue de l'établissement des faits, s'agissant d'une interpellation alors que le recourant conduisait la voiture d'un tiers et n'avait pas pu présenter de permis de conduire. S'il soutient être au bénéfice d'un tel permis en Algérie, il pourra le démontrer sans difficulté puisqu'il a affirmé à la police que "quelqu'un de la famille" pourrait lui en envoyer une photographie. Il n'a donc pas besoin d'un avocat pour l'assister sur ce point. Il pourra tout aussi bien s'exprimer seul sur les éventuelles dispositions qu'il aurait prises pour obtenir un permis de conduire suisse, dès lors qu'il réside dans notre pays depuis 2019. Il peut également demander, s'il l'estime opportun, que le détenteur de la voiture soit entendu sur sa crise de diabète. Quant au séjour illégal en Suisse, il est admis. S'agissant encore de la nature de la peine à laquelle le recourant est exposé, quand bien même il ne s'agit pas là de l'objet du litige, le Ministère public n'avait pas à l'entendre avant de prononcer une peine privative assortie du sursis – et non ferme comme soutenu à tort par le prévenu dans son recours –. Enfin, quand bien même l'ordonnance pénale retient une peine privative de liberté à l'encontre du recourant, ce type de peine s'avère conforme à la Directive sur le retour, en cas de condamnation à l'art. 95 let. a LCR en sus d'une infraction à l'art. 115 al. 1 let. b LEI. En tout état, il est rappelé qu'il revient au Ministère public puis au Tribunal de police d'appliquer le droit, en vertu du principe jura novit curia. Ainsi, les faits et dispositions applicables sont clairement circonscrits et ne présentent aucune difficulté de compréhension ou d'application. Le recourant s'est déjà exprimé à la police à leur égard, en français, sans l'aide d'un avocat ni d'un interprète. Il a ainsi parfaitement compris ce qui lui était reproché et a su donner, seul, des explications précises. En définitive, les conditions cumulatives à l'application de l'art. 132 CPP font défaut. C'est donc à juste titre que le Ministère public a refusé de mettre le recourant au bénéfice d'une défense d'office.</w:t>
      </w:r>
    </w:p>
    <w:p>
      <w:r>
        <w:rPr>
          <w:b/>
        </w:rPr>
        <w:t>E. 3</w:t>
      </w:r>
    </w:p>
    <w:p>
      <w:r>
        <w:t>Le recours est donc infondé, ce que la Chambre de céans pouvait constater d'emblée, sans échange d'écritures ni débats (art. 390 al. 2 et 5 a contrario CPP).</w:t>
      </w:r>
    </w:p>
    <w:p>
      <w:r>
        <w:rPr>
          <w:b/>
        </w:rPr>
        <w:t>E. 4</w:t>
      </w:r>
    </w:p>
    <w:p>
      <w:r>
        <w:t>La procédure de recours contre le refus de l'octroi de l'assistance juridique ne donne pas lieu à la perception de frais (art. 20 RAJ).</w:t>
      </w:r>
    </w:p>
    <w:p>
      <w:r>
        <w:t>- 8/9 - P/20502/2024</w:t>
      </w:r>
    </w:p>
    <w:p>
      <w:r>
        <w:rPr>
          <w:b/>
        </w:rPr>
        <w:t>E. 5</w:t>
      </w:r>
    </w:p>
    <w:p>
      <w:r>
        <w:t>La demande de défense d'office pour le dépôt du recours sera rejetée, au vu des motifs sus-développés et l'issue de la démarche. Le recourant n'ayant pas gain de cause, il n'a pas non plus droit à une indemnité au sens de l'art. 429 al. 1 let. a CPP. * * * * *</w:t>
      </w:r>
    </w:p>
    <w:p>
      <w:r>
        <w:t>- 9/9 - P/20502/2024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