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ACPR/904/2024 vom 30. September 2024</w:t>
      </w:r>
    </w:p>
    <w:p>
      <w:r>
        <w:t>GE Cour de justice, 2024-09-30, FR</w:t>
      </w:r>
    </w:p>
    <w:p>
      <w:r>
        <w:rPr>
          <w:b/>
        </w:rPr>
        <w:t xml:space="preserve">Quelle: </w:t>
      </w:r>
      <w:r>
        <w:t>https://mcp.opencaselaw.ch/entscheid/ge_gerichte_ACPR_904_2024</w:t>
      </w:r>
    </w:p>
    <w:p>
      <w:r>
        <w:t>FR: GE_GERICHTE ACPR/904/2024 du 30 septembre 2024</w:t>
      </w:r>
    </w:p>
    <w:p>
      <w:r>
        <w:t>IT: GE_GERICHTE ACPR/904/2024 del 30 settembre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1.2</w:t>
      </w:r>
    </w:p>
    <w:p>
      <w:r>
        <w:t>La conclusion visant au report de l'audience devant le Tribunal de police, si tant est qu'elle fût recevable, n'a plus d'objet puisque la recourante a été entendue le 17 octobre 2024.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réunir les conditions d'une défense d'office au sens de l'art. 132 CPP.</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w:t>
      </w:r>
    </w:p>
    <w:p>
      <w:r>
        <w:t>- 4/6 - P/23418/2023 une telle assistance, cette seconde condition devant s'interpréter à l'aune des critères mentionnés à l'art. 132 al. 2 et 3 CPP.</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w:t>
      </w:r>
    </w:p>
    <w:p>
      <w:r>
        <w:rPr>
          <w:b/>
        </w:rPr>
        <w:t>E. 3.2.1</w:t>
      </w:r>
    </w:p>
    <w:p>
      <w:r>
        <w:t>En tout état de cause, une affaire n'est pas de peu de gravité lorsque le prévenu est passible d'une peine privative de liberté de plus de 4 mois ou d'une peine pécuniaire de plus de 120 jours-amende (art. 132 al. 3 CPP). La désignation d'un défenseur d'office est en tout cas nécessaire lorsque le prévenu est exposé à une longue peine privative de liberté ou qu'il est menacé d'une peine qui ne peut être assortie du sursis (ATF 129 I 281 consid. 3.1).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w:t>
      </w:r>
    </w:p>
    <w:p>
      <w:r>
        <w:rPr>
          <w:b/>
        </w:rPr>
        <w:t>E. 3.2.2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3.2.3</w:t>
      </w:r>
    </w:p>
    <w:p>
      <w:r>
        <w:t>Si les deux conditions mentionnées à l'art. 132 al. 2 CPP doivent être réunies cumulativement, il n'est pas exclu que l'intervention d'un défenseur soit justifiée par d'autres motifs, notamment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w:t>
      </w:r>
    </w:p>
    <w:p>
      <w:r>
        <w:t>- 5/6 - P/23418/2023</w:t>
      </w:r>
    </w:p>
    <w:p>
      <w:r>
        <w:rPr>
          <w:b/>
        </w:rPr>
        <w:t>E. 3.3</w:t>
      </w:r>
    </w:p>
    <w:p>
      <w:r>
        <w:t>En l'espèce, si l'indigence de la recourante paraît plausible, au vu de la situation qu'elle décrit, et qu'elle atteste par pièces, cette question peut demeurer ouverte, compte tenu de ce qui suit. Tout d'abord, la recourante s'expose à des amendes, de sorte que la cause est de peu de gravité. Si elle venait à ne pas payer celles-ci, elle risquerait, potentiellement, une conversion de ces peines contraventionnelles en une peine privative de liberté, mais ce n'est pas l'objet de la décision querellée, et c'est le cas de tout contrevenant ayant peu de moyens financiers. Ensuite, la cause ne présente pas de difficultés particulières, du point de vue de l'établissement des faits ou des questions juridiques soulevées, que la recourante ne serait pas en mesure de résoudre seule. D'ailleurs, elle a été longuement entendue par le Tribunal. Elle a ainsi pu détailler son opposition aux ordonnances pénales, exposer quels faits elle contestait, pour quelles raisons, et faire part de ses conclusions. Les faits et dispositions légales applicables sont clairement circonscrits et ne présentent aucune difficulté de compréhension ou d'application pour la recourante, qui maîtrise la langue française. Elle est ainsi en mesure de défendre ses intérêts, et, dans son recours, elle n'explicite pas ce qu'un avocat pourrait faire de plus. Partant, c'est à bon droit que la défense d'office a été refusée par le Tribunal de police.</w:t>
      </w:r>
    </w:p>
    <w:p>
      <w:r>
        <w:rPr>
          <w:b/>
        </w:rPr>
        <w:t>E. 4</w:t>
      </w:r>
    </w:p>
    <w:p>
      <w:r>
        <w:t>Pour ces raisons, le recours sera rejeté.</w:t>
      </w:r>
    </w:p>
    <w:p>
      <w:r>
        <w:rPr>
          <w:b/>
        </w:rPr>
        <w:t>E. 5</w:t>
      </w:r>
    </w:p>
    <w:p>
      <w:r>
        <w:t>Les frais de la procédure de recours resteront à la charge de l'État (art. 20 RAJ). * * * * *</w:t>
      </w:r>
    </w:p>
    <w:p>
      <w:r>
        <w:t>- 6/6 - P/23418/2023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