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ACPR/904/2023 vom 24. Oktober 2023</w:t>
      </w:r>
    </w:p>
    <w:p>
      <w:r>
        <w:t>GE Cour de justice, 2023-10-24, FR</w:t>
      </w:r>
    </w:p>
    <w:p>
      <w:r>
        <w:rPr>
          <w:b/>
        </w:rPr>
        <w:t xml:space="preserve">Quelle: </w:t>
      </w:r>
      <w:r>
        <w:t>https://mcp.opencaselaw.ch/entscheid/ge_gerichte_ACPR_904_2023</w:t>
      </w:r>
    </w:p>
    <w:p>
      <w:r>
        <w:t>FR: GE_GERICHTE ACPR/904/2023 du 24 octobre 2023</w:t>
      </w:r>
    </w:p>
    <w:p>
      <w:r>
        <w:t>IT: GE_GERICHTE ACPR/904/2023 del 24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contre lui. Il n'y a donc pas à s'y attarder, mais à renvoyer, en tant que de besoin, à la motivation adoptée par le premier juge (art 82 al. 4 CPP; ACPR/747/2020 du 22 octobre 2020 consid. 2 et les références).</w:t>
      </w:r>
    </w:p>
    <w:p>
      <w:r>
        <w:rPr>
          <w:b/>
        </w:rPr>
        <w:t>E. 3</w:t>
      </w:r>
    </w:p>
    <w:p>
      <w:r>
        <w:t>Il conteste les risques de collusion et réitération. Ces risques ont été retenus par le TMC pour fonder la mise en détention provisoire de l'intéressé, puis les mesures de substitution ordonnées, la dernière fois le 3 octobre 2023, sans avoir été contestés par le prévenu. Ils ont été repris dans l'ordonnance querellée, étant souligné que le prévenu n'expose pas quel fait nouveau survenu depuis lors serait aujourd'hui de nature à les amoindrir. Même s'il reconnaît la matérialité des faits reprochés, le risque de collusion subsiste vis-à-vis du plaignant D______, avec lequel il serait en conflit depuis plusieurs années et qu'il considère comme le responsable de son addiction, ce d'autant plus qu'il est renvoyé en jugement notamment pour des faits commis à l'encontre du précité. Sous l'angle du risque de récidive, les motifs retenus jusqu'alors par le TMC conservent toute leur pertinence. Les rapports du SPI soulignent les difficultés grandissantes rencontrées en entretien, la persistance du recourant à consommer des toxiques et à se soustraire au traitement psychothérapeutique ordonné, son comportement agressif, allant jusqu'à tenir des propos violents à l'encontre du plaignant, ce qui a donné lieu au rapport urgent du 19 octobre 2023. Dans un tel contexte, le fait que le recourant n'ait pas commis de nouvelle infraction depuis plus d'une année, n'est pas suffisant pour considérer que le risque de réitération n'existerait plus, étant souligné qu'une expertise psychiatrique est en cours en vue de déterminer précisément le risque de récidive et les éventuelles mesures aptes à le pallier.</w:t>
      </w:r>
    </w:p>
    <w:p>
      <w:r>
        <w:t>- 9/12 - P/7568/2022</w:t>
      </w:r>
    </w:p>
    <w:p>
      <w:r>
        <w:rPr>
          <w:b/>
        </w:rPr>
        <w:t>E. 4.1</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4.2</w:t>
      </w:r>
    </w:p>
    <w:p>
      <w:r>
        <w:t>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à respecter les mesures qui lui ont été imposées, respectivement son incapacité à le faire (Y. JEANNERET / A. KUHN / C. PERRIER DEPEURSINGE (éds), Commentaire du Code de procédure pénale suisse, Bâle 2019,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3e éd. Zurich 2018, n. 20 ad art. 237 ; N. SCHMID, Handbuch des schweizerischen Strafprozessrechts, 2e éd. Zurich 2013, p. 454), ou que d'autres mesures ne sont pas possibles (ATF 140 IV 19 consid. 2.6).</w:t>
      </w:r>
    </w:p>
    <w:p>
      <w:r>
        <w:rPr>
          <w:b/>
        </w:rPr>
        <w:t>E. 4.3</w:t>
      </w:r>
    </w:p>
    <w:p>
      <w:r>
        <w:t>En l'espèce, il est constant que le recourant n'a pas respecté les mesures de substitution mises à sa charge. En particulier, il a fait fi de l'obligation de se soumettre à un traitement psychothérapeutique afin de traiter son addiction à la drogue et à l'alcool, n'hésitant pas à soutenir qu'il n'appartenait pas aux autorités pénales de lui imposer un tel traitement. Son attention a été – en vain – attirée à plusieurs reprises par le SPI sur ses obligations et les conséquences en cas de non- respect, obligeant en outre le TMC de le rappeler à l'ordre lors de l'audience du 13 avril 2023, sans effet cependant. Il a en outre persisté à consommer des stupéfiants, refusé de se soumettre à plusieurs contrôles d'abstinence et affirmé qu'il ne faisait aucun cas de ses obligations pénales. Force est donc de constater que les mesures de substitution déjà ordonnées ont trouvé leurs limites, de sorte que c'est à bon droit que le TMC les a révoquées en ordonnant la mise en détention pour des motifs de sûretés du recourant, au vu du risque de réitération persistant pour des infractions visant l'intégrité corporelle d'autrui.</w:t>
      </w:r>
    </w:p>
    <w:p>
      <w:r>
        <w:t>- 10/12 - P/7568/2022</w:t>
      </w:r>
    </w:p>
    <w:p>
      <w:r>
        <w:rPr>
          <w:b/>
        </w:rPr>
        <w:t>E. 5</w:t>
      </w:r>
    </w:p>
    <w:p>
      <w:r>
        <w:t>La durée de la détention ordonnée, pour une durée de trois mois, est largement proportionnée à la peine concrètement encourue si le recourant devait être reconnu coupable des infractions dont il est soupçonné.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- 11/12 - P/7568/2022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