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ACPR/903/2025 vom 8. Oktober 2025</w:t>
      </w:r>
    </w:p>
    <w:p>
      <w:r>
        <w:t>GE Cour de justice, 2025-10-08, FR</w:t>
      </w:r>
    </w:p>
    <w:p>
      <w:r>
        <w:rPr>
          <w:b/>
        </w:rPr>
        <w:t xml:space="preserve">Quelle: </w:t>
      </w:r>
      <w:r>
        <w:t>https://mcp.opencaselaw.ch/entscheid/ge_gerichte_ACPR_903_2025</w:t>
      </w:r>
    </w:p>
    <w:p>
      <w:r>
        <w:t>FR: GE_GERICHTE ACPR/903/2025 du 8 octobre 2025</w:t>
      </w:r>
    </w:p>
    <w:p>
      <w:r>
        <w:t>IT: GE_GERICHTE ACPR/903/2025 del 8 ottobre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s'oppose à l'établissement de son profil d'ADN.</w:t>
      </w:r>
    </w:p>
    <w:p>
      <w:r>
        <w:rPr>
          <w:b/>
        </w:rPr>
        <w:t>E. 3.1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w:t>
      </w:r>
    </w:p>
    <w:p>
      <w:r>
        <w:rPr>
          <w:b/>
        </w:rPr>
        <w:t>E. 3.2</w:t>
      </w:r>
    </w:p>
    <w:p>
      <w:r>
        <w:t>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3.3</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3.4</w:t>
      </w:r>
    </w:p>
    <w:p>
      <w:r>
        <w:t>En l'espèce, l'établissement du profil d'ADN du recourant a été ordonné pour élucider les faits objets de la procédure, à savoir des faits qualifiés de tentative de</w:t>
      </w:r>
    </w:p>
    <w:p>
      <w:r>
        <w:t>- 4/7 - P/22861/2025 meurtre (art. 22 cum 111 CP). Cette infraction est spécifiquement mentionnée dans la liste à l'art. 4.2 de la Directive A.5 du Procureur général dont le libellé est "Infraction(s) sur laquelle (lesquelles) porte(nt) la procédure (art. 255 al. 1 CPP)" et qui, bien que n'ayant pas force de loi, est fondée sur l'art. 255 al. 1 CPP, lequel autorise l'établissement d'un profil d'ADN pour élucider des crimes ou délits en cours d'instruction. Le recourant conteste la version des faits livrée par le lésé, affirmant que c'est ce dernier qui était muni d'une paire de ciseaux et non lui-même. Or la paire de ciseaux en cause, sur laquelle la police a trouvé des traces de sang et de chair, a été portée à l'inventaire. D'autre part, l'établissement de constats de lésions traumatiques a été ordonné, lesquels comprendront tous prélèvements utiles. Dès lors, le principe de la proportionnalité, sous l'angle de l'aptitude de la mesure, est respecté et celle-ci ne consacre aucune atteinte injustifiée aux droits fondamentaux du recourant. Le recourant soutient qu'ordonner un nouvel établissement de son profil d'ADN alors qu'un tel profil avait déjà été établi plusieurs fois par le passé, serait arbitraire. La Chambre de céans est toutefois d'avis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les soupçons de la commission d'une nouvelle infraction – en l'occurrence une tentative de meurtre – qui ont conduit le Ministère public à ordonner à nouveau l'établissement du profil d'ADN du recourant. Dans la mesure où on se trouve dans une situation dans laquelle l'art. 255 al. 1 CPP permet d'ordonner un tel établissement, la mesure est légale, et, partant, nullement arbitraire. Ainsi, le fait, pour le Ministère public, d'avoir, dans de telles circonstances, ordonné une nouvelle fois l'établissement du profil d'ADN du recourant, afin d'en prolonger le délai de conservation, n'apparait aucunement disproportionné, quand bien-même l'échéance dudit délai n'interviendra que dans dix ou vingt ans.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 CPP, dont les conditions sont remplies, comme cela a été retenu ci-dessus. Il s'ensuit que l'ordonnance querellée ne prête pas le flanc à la critique, les réquisits pour le prononcé de l'établissement du profil d'ADN du recourant étant réunis.</w:t>
      </w:r>
    </w:p>
    <w:p>
      <w:r>
        <w:t>- 5/7 - P/22861/2025</w:t>
      </w:r>
    </w:p>
    <w:p>
      <w:r>
        <w:rPr>
          <w:b/>
        </w:rPr>
        <w:t>E. 4</w:t>
      </w:r>
    </w:p>
    <w:p>
      <w:r>
        <w:t>Justifiée, l'ordonnance querellée sera donc confirmée.</w:t>
      </w:r>
    </w:p>
    <w:p>
      <w:r>
        <w:rPr>
          <w:b/>
        </w:rPr>
        <w:t>E. 5</w:t>
      </w:r>
    </w:p>
    <w:p>
      <w:r>
        <w:t>Le recourant, qui succombe, supportera les frais envers l'État, fixés en totalité à CHF 600.- (art. 428 al. 1 CPP et 13 al. 1 du Règlement fixant le tarif des frais en matière pénale, RTFMP ; E 4 10.03). L'autorité de recours est en effet tenue de dresser un état de frais pour la procédure de deuxième instance, sans égard à l'obtention de l'assistance judiciaire (arrêts du Tribunal fédéral 1B_372/2014 du 8 avril 2015 consid. 4.6 et 1B_203/2011 du 18 mai 2011 consid. 4).</w:t>
      </w:r>
    </w:p>
    <w:p>
      <w:r>
        <w:rPr>
          <w:b/>
        </w:rPr>
        <w:t>E. 6</w:t>
      </w:r>
    </w:p>
    <w:p>
      <w:r>
        <w:t>Le recourant plaide au bénéfice de l'assistance juridique. Dans la mesure où la procédure se poursuit, l'indemnité de son défenseur d'office sera fixée à la fin de la procédure (art. 135 al. 2 CPP). * * * * *</w:t>
      </w:r>
    </w:p>
    <w:p>
      <w:r>
        <w:t>- 6/7 - P/22861/2025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