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ACPR/89/2025 vom 30. September 2024</w:t>
      </w:r>
    </w:p>
    <w:p>
      <w:r>
        <w:t>GE Cour de justice, 2024-09-30, FR</w:t>
      </w:r>
    </w:p>
    <w:p>
      <w:r>
        <w:rPr>
          <w:b/>
        </w:rPr>
        <w:t xml:space="preserve">Quelle: </w:t>
      </w:r>
      <w:r>
        <w:t>https://mcp.opencaselaw.ch/entscheid/ge_gerichte_ACPR_89_2025</w:t>
      </w:r>
    </w:p>
    <w:p>
      <w:r>
        <w:t>FR: GE_GERICHTE ACPR/89/2025 du 30 septembre 2024</w:t>
      </w:r>
    </w:p>
    <w:p>
      <w:r>
        <w:t>IT: GE_GERICHTE ACPR/89/2025 del 30 settembre 2024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soit d'une partie à la procédure (art. 104 al. 1 let.b CPP). Seul a toutefois qualité pour agir la partie qui a un intérêt juridiquement protégé à la modification ou à l'annulation de la décision querellée (art. 382 al. 1 CPP). 1.2.1.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1B_418/2022 du 17 janvier 2023 consid. 3.1).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1.2.2. À ce stade de la procédure, le recourant invoque les art. 146, 163, 173, 174, 251 et 253 CP.</w:t>
      </w:r>
    </w:p>
    <w:p>
      <w:r>
        <w:t>- 5/12 - P/21474/2024 1.3.1. Les art. 173 CP (diffamation) et 174 CP (calomnie) protègent le droit de toute personne de ne pas être considéré comme une personne méprisable (ATF 121 IV 76 consid. 1c). Le recourant est donc indubitablement titulaire du bien juridique protégé par les art. 173 et 174 CP. 1.3.2. Les art. 251ss CP (faux dans les titres et obtention frauduleuse d'une constatation fausse) protègent, en tant que bien juridique collectif, la confiance accordée dans la vie juridique à un titre comme moyen de preuve. Les délits commis sur des documents protègent en premier lieu la collectivité. Les intérêts privés ne peuvent être directement lésés que si le délit vise à désavantager une personne déterminée. C'est notamment le cas lorsque le faux dans les titres poursuit un but plus large, économique, et apparaît dans ce sens comme un simple acte préparatoire d'un délit contre le patrimoine. Dans ce contexte, l'élément constitutif du faux dans les titres protège le particulier d'être trompé par des déclarations fictives ou des déclarations qualifiées d'inexactes et d'être ainsi amené à prendre des dispositions juridiques préjudiciables à ses intérêts sur cette base (ATF 148 IV 170 consid. 3.5.1). En l'occurrence, le recourant n'explique pas en quoi il serait lésé par l'éventuelle apposition d'une signature falsifiée sur l'attestation du 7 juin 2022, dès lors qu'il reconnaît lui-même que ce document reflète la réalité. Il n'explique pas davantage en quoi ses intérêts seraient directement atteints par une infraction à l'art. 253 CP, étant relevé que, ni dans sa plainte, ni dans son recours, il ne précise quel serait le titre authentique visé et que la lecture de ses écritures ne permet pas de le déduire. La qualité pour recourir, s'agissant des infractions réprimées par les art. 251 et 253 CP, doit dès lors lui être déniée. 1.3.3. L'art. 146 CP (escroquerie) est classé au nombre des infractions contre le patrimoine. En tant qu'il soutient avoir été escroqué de CHF 1'000.- par mois en lien avec une contribution au loyer excessive que la mise en cause lui aurait soutirée, le recourant est donc fondé à recourir. En revanche, il n'est pas la victime directe d'une éventuelle tromperie de l'Office des poursuites sur la réalité d'une créance à son endroit, dès lors que l'inexistence de celle-ci ne porte pas, per se, atteinte à son patrimoine, lequel n'est, cas échéant, touché que par ricochet. Sa qualité pour recourir se limite donc au premier état de fait. 1.3.4. La banqueroute frauduleuse et la fraude dans la saisie, réprimées par l'art. 163 CP, protège le droit des créanciers à bénéficier du solde du patrimoine du débiteur,</w:t>
      </w:r>
    </w:p>
    <w:p>
      <w:r>
        <w:t>- 6/12 - P/21474/2024 ainsi que les intérêts de l'exécution forcée en tant que partie de l'administration de la justice (M. DUPUIS / L. MOREILLON / C. PIGUET / S. BERGER / M. MAZOU / V. RODIGARI (éds), Code pénal - Petit commentaire, 2e éd., Bâle 2017, n. 1 ad Rem. prél. aux art. 163 à 171bis). Or, le recourant admet lui-même n'être pas créancier de son ex-épouse. Partant, il n'a pas qualité pour recourir contre une non-entrée en matière, s'agissant de cette disposition. 1.3.5. Le recours n'est dès lors recevable que s'agissant des infractions contre l'honneur et de l'escroquerie.</w:t>
      </w:r>
    </w:p>
    <w:p>
      <w:r>
        <w:rPr>
          <w:b/>
        </w:rPr>
        <w:t>E. 2</w:t>
      </w:r>
    </w:p>
    <w:p>
      <w:r>
        <w:t>Le recourant invoque une violation de son droit d'être entendu, le Ministère public n'ayant pas statué, dans son ordonnance, sur celles-ci.</w:t>
      </w:r>
    </w:p>
    <w:p>
      <w:r>
        <w:rPr>
          <w:b/>
        </w:rPr>
        <w:t>E. 2.1</w:t>
      </w:r>
    </w:p>
    <w:p>
      <w:r>
        <w:t>Le droit d'être entendu, garanti par les art. 3 al. 2 let. c CPP et 29 al. 2 Cst. féd., impose au magistrat l'obligation de motiver sa décision afin, d'une part, que son destinataire puisse l'attaquer utilement et, d'autre part, que la juridiction de recours soit en mesure d'exercer son contrôle (ATF 139 IV 179 consid. 2.2; 138 I 232 consid. 5.1).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(ATF 125 I 209 consid. 9a et 107 Ia 1 consid. 1). Une violation du droit d'être entendu, y compris en présence d'un vice grave, est également admise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rPr>
          <w:b/>
        </w:rPr>
        <w:t>E. 2.2</w:t>
      </w:r>
    </w:p>
    <w:p>
      <w:r>
        <w:t>En l'espèce, il faut concéder au recourant que la décision querellée n'a pas traité les infractions de diffamation et de calomnie, objet de sa plainte. Cela étant, la violation du droit d'être entendu a été réparée en instance de recours, le Ministère public s'étant prononcé sur celles-ci dans ses observations, sans que le recourant, à qui cette possibilité était ouverte, ne réplique. Dans ces circonstances, le vice doit être considéré comme réparé, le recours devant être rejeté sur ce point.</w:t>
      </w:r>
    </w:p>
    <w:p>
      <w:r>
        <w:t>- 7/12 - P/21474/2024</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qui découle du principe de la légalité (art. 5 al. 1 Cst. et art. 2 al. 2 CPP en relation avec les art. 319 al. 1 et 324 al. 1 CPP ; ATF 138 IV 86 consid. 4.2) et signifie qu'en principe une non-entrée en matière ne peut être prononcée que lorsqu'il apparaît clairement que les faits ne sont pas punissables ou que les conditions à la poursuite pénale ne sont pas remplies (ATF 146 IV 68 consid. 2.1).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sur la situation factuelle ou juridique, ce n'est pas à l'autorité d'instruction ou d'accusation mais, au juge matériellement compétent de se prononcer (ATF 143 IV 241 consid. 2.2.1; 138 IV 86 consid. 4.1.2). 3.2.1. 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La calomnie, réprimée par l'art. 174 CP, est une forme qualifiée de diffamation, dont elle se distingue par le fait que les allégations propagées sont fausses et que l'auteur a connaissance de la fausseté de ses allégations (arrêt du Tribunal fédéral 6B_1254/2019 du 16 mars 2020 consid. 6.1). L'honneur protégé par ces dispositions est conçu de façon générale comme un droit au respect, qui est lésé par toute assertion propre à exposer la personne visée au mépris en sa qualité d'homme. Tel est notamment le cas lorsqu'on évoque une infraction pénale ou un comportement clairement réprouvé par les conceptions morales généralement admises (ATF 145 IV 462 consid. 4.2.2). 3.2.2. Le recourant soutient que son ex-épouse le traiterait d'escroc et de voleur devant leur fils, termes de nature à porter atteinte à son honneur, puisqu'ils lui prêtent un comportement constitutif d'infractions pénales.</w:t>
      </w:r>
    </w:p>
    <w:p>
      <w:r>
        <w:t>- 8/12 - P/21474/2024 L'accusation du recourant paraît plausible, compte tenu de l'animosité manifeste opposant les ex-époux, de la procédure pénale dont il fait l'objet et des détails qu'il a fournis, s'agissant d'un vol d'argent que C______ lui imputerait au détriment de son père. Il n'est dès lors pas possible, sans à tout le moins entendre la mise en cause, de considérer qu'il n'existerait pas de soupçons suffisants de l'existence d'une infraction contre l'honneur. Quant à l'audition du fils des parties, ce moyen de preuve n'apparaît pas d'emblée totalement exclu, son âge – 20 ans – permettant de considérer qu'il serait à même de refuser de s'exprimer, pour le cas où il ressentirait son témoignage comme le plaçant dans un éventuel conflit d'intérêt (cf. art. 168 al. 1 let. c CPP). Dans ces conditions, le Ministère public ne pouvait pas rendre une ordonnance de non-entrée en matière, s'agissant des infractions contre l'honneur dénoncées. 3.3.1. L'art. 146 al. 1 CP vise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encore faut-il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3.3.2. Dans ses écritures, le recourant admet lui-même avoir payé à son ex-épouse une somme de CHF 4'000.- pour son loyer, sans s'enquérir du montant exact réellement acquitté par celle-ci à ce titre. Ce faisant, il ne décrit pas de comportement astucieux de la part de la mise en cause. C'est donc à juste titre que le Ministère public a considéré que l'un des éléments constitutifs de l'art. 146 CP n'était manifestement pas réalisé, une non-entrée en matière sur la plainte étant dès lors fondée sur ce point.</w:t>
      </w:r>
    </w:p>
    <w:p>
      <w:r>
        <w:rPr>
          <w:b/>
        </w:rPr>
        <w:t>E. 4</w:t>
      </w:r>
    </w:p>
    <w:p>
      <w:r>
        <w:t>Il s'ensuit que le recours doit être très partiellement admis, s'agissant des art. 173 CP et éventuellement 174 CP, l'ordonnance querellée étant confirmée pour le surplus.</w:t>
      </w:r>
    </w:p>
    <w:p>
      <w:r>
        <w:t>- 9/12 - P/21474/2024</w:t>
      </w:r>
    </w:p>
    <w:p>
      <w:r>
        <w:rPr>
          <w:b/>
        </w:rPr>
        <w:t>E. 5.1</w:t>
      </w:r>
    </w:p>
    <w:p>
      <w:r>
        <w:t>Le recourant, qui succombe pour l'essentiel, supportera 4/5èmes des frais envers l'État, arrêtés à CHF 1'500.- (art. 428 al. 1 CPP et 13 al. 1 du Règlement fixant le tarif des frais en matière pénale, RTFMP ; E 4 10.03).</w:t>
      </w:r>
    </w:p>
    <w:p>
      <w:r>
        <w:rPr>
          <w:b/>
        </w:rPr>
        <w:t>E. 5.2</w:t>
      </w:r>
    </w:p>
    <w:p>
      <w:r>
        <w:t>Le recourant réclame une indemnité pour ses frais d'avocat de CHF 1'459.35 TTC, correspondant à trois heures d'activité, au tarif horaire de chef d'étude, sans autre précision. L'ampleur de l'activité alléguée apparaît toutefois exagérée, le recours reprenant pour une grande partie les faits de la plainte et ne comportant aucune analyse juridique de ceux-ci, sous réserve de l'articulation de divers articles du code pénal. Une heure trente d'activité, au tarif horaire de CHF 450.-, sera dès lors admise, soit CHF 675.-, hors TVA, vu le domicile du recourant à l'étranger (ATF 141 IV 344 consid. 4.1). Compte tenu de l'issue de la procédure, l'indemnisation sera réduite dans la même proportion que les frais et ainsi limitée aux 1/5ème de cette somme, soit CHF 135.-. * * * * *</w:t>
      </w:r>
    </w:p>
    <w:p>
      <w:r>
        <w:t>- 10/12 - P/21474/2024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