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ACPR/89/2022 vom 22. Oktober 2021</w:t>
      </w:r>
    </w:p>
    <w:p>
      <w:r>
        <w:t>GE Cour de justice, 2021-10-22, FR</w:t>
      </w:r>
    </w:p>
    <w:p>
      <w:r>
        <w:rPr>
          <w:b/>
        </w:rPr>
        <w:t xml:space="preserve">Quelle: </w:t>
      </w:r>
      <w:r>
        <w:t>https://mcp.opencaselaw.ch/entscheid/ge_gerichte_ACPR_89_2022</w:t>
      </w:r>
    </w:p>
    <w:p>
      <w:r>
        <w:t>FR: GE_GERICHTE ACPR/89/2022 du 22 octobre 2021</w:t>
      </w:r>
    </w:p>
    <w:p>
      <w:r>
        <w:t>IT: GE_GERICHTE ACPR/89/2022 del 22 ottobre 2021</w:t>
      </w:r>
    </w:p>
    <w:p>
      <w:pPr>
        <w:pStyle w:val="Heading2"/>
      </w:pPr>
      <w:r>
        <w:t>Erwägungen</w:t>
      </w:r>
    </w:p>
    <w:p>
      <w:r>
        <w:rPr>
          <w:b/>
        </w:rPr>
        <w:t>E. 1.1</w:t>
      </w:r>
    </w:p>
    <w:p>
      <w:r>
        <w:t>Le recours a été déposé selon la forme et dans le délai prescrits (art. 385 al. 1 et 396 al. 1 CPP) à l'encontre d'une ordonnance de séquestre, décision sujette à recours auprès de la Chambre de céans (art. 393 al. 1 let. a CPP), par le prévenu, partie à la procédure (art. 104 al. 1 let. a CPP).</w:t>
      </w:r>
    </w:p>
    <w:p>
      <w:r>
        <w:rPr>
          <w:b/>
        </w:rPr>
        <w:t>E. 1.2</w:t>
      </w:r>
    </w:p>
    <w:p>
      <w:r>
        <w:t>Reste à déterminer si le recourant dispose de la qualité pour agir.</w:t>
      </w:r>
    </w:p>
    <w:p>
      <w:r>
        <w:rPr>
          <w:b/>
        </w:rPr>
        <w:t>E. 1.2.1</w:t>
      </w:r>
    </w:p>
    <w:p>
      <w:r>
        <w:t>En vertu de l'art. 382 al. 1 CPP, toute partie qui a un intérêt juridiquement protégé à l'annulation ou à la modification d'une décision a qualité pour recourir contre celle-ci. Cet intérêt doit être juridique et direct. Le recourant est ainsi tenu d’établir que la décision attaquée viole une règle de droit qui a pour but de protéger ses intérêts et qu’il peut, par conséquent, en déduire un droit subjectif (ATF 145 IV 161 consid. 3).</w:t>
      </w:r>
    </w:p>
    <w:p>
      <w:r>
        <w:rPr>
          <w:b/>
        </w:rPr>
        <w:t>E. 1.2.2</w:t>
      </w:r>
    </w:p>
    <w:p>
      <w:r>
        <w:t>En l'espèce, le recourant est propriétaire des parcelles n° 1______ et 2______, sises à C______, faisant l'objet de l'ordonnance querellée. Il dispose ainsi d'un intérêt juridique à agir en annulation des séquestres prononcés sur ses biens-fonds. L'extrait du Registre foncier ayant trait à la parcelle n° 3______ sise à C______, produit par le recourant, n'établit pas que celle-ci ne lui appartiendrait plus, mais plutôt que le numéro de parcelle serait "invalide". Aussi, il n'est pas établi de manière formelle qu'il aurait perdu la propriété de ce bien-fonds, ce que la plaignante et l'autorité intimée ne discutent pas. Pour les besoins de la cause, et compte tenu de l'issue du recours, la Chambre de céans considérera donc que le recourant dispose de la qualité pour agir au regard de cette parcelle également. Partant, le recours est recevable.</w:t>
      </w:r>
    </w:p>
    <w:p>
      <w:r>
        <w:t>- 12/15 - P/2934/2017</w:t>
      </w:r>
    </w:p>
    <w:p>
      <w:r>
        <w:rPr>
          <w:b/>
        </w:rPr>
        <w:t>E. 1.3</w:t>
      </w:r>
    </w:p>
    <w:p>
      <w:r>
        <w:t>Les pièces nouvelles produites par le recourant devant la Chambre de céans sont recevables (arrêt du Tribunal fédéral 1B_368/2014 du 5 février 2015 consid. 3.2 in fine).</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w:t>
      </w:r>
    </w:p>
    <w:p>
      <w:r>
        <w:rPr>
          <w:b/>
        </w:rPr>
        <w:t>E. 2.2</w:t>
      </w:r>
    </w:p>
    <w:p>
      <w:r>
        <w:t>En l'espèce, les séquestres querellés ont été ordonnés sur requête de la plaignante, après la découverte par celle-ci que le recourant planifiait de vendre les parcelles n° 1______ et 2______. Dans l'ordonnance querellée, le Ministère public, près de quatre ans après l'ouverture de l'instruction, se borne à exposer que celui-ci bénéficiait de procurations pour gérer et disposer de la fortune, notamment</w:t>
      </w:r>
    </w:p>
    <w:p>
      <w:r>
        <w:t>- 13/15 - P/2934/2017 immobilière, de sa mère, et qu'il y avait lieu d'établir s'il avait failli à ses devoirs de gestion, à son propre profit. Il n'est pas contesté que le recourant gérait une partie du patrimoine de sa mère avant le décès de celle-ci. Il disposait d'un pouvoir de signature sur les comptes de cette dernière, qui a également signé des procurations en faveur de celui-ci, l'habilitant expressément à s'occuper de ses affaires courantes et à vendre la villa [sise] 7______. À défaut d'élément contraire, de telles habilitations ne fondent pas encore une prévention pénale, d'autant moins que les actes entrepris par le recourant ne semblent pas s'écarter du libellé des procurations. De surcroît, celui-ci a produit diverses déclarations écrites de sa mère, laquelle y affirmait, notamment, que son fils avait pleinement suivi ses instructions en lien avec la gestion de son patrimoine, qu'il la tenait informée, qu'elle endossait la responsabilité des éventuelles pertes survenues et que la distribution de ses biens procédait de sa pleine et éclairée volonté. Le Ministère public ne donnant aucun signe qu'il contesterait l'authenticité ou la validité de ces déclarations, il n'y a pas lieu, à ce stade, de les remettre en question. Ainsi, depuis l'ouverture de l'instruction et sur la base des rares actes qu'il a entrepris, le Ministère public n'a pas été en mesure de renforcer les soupçons qui pèsent sur le recourant. De même, les explications données par celui-ci au sujet de l'utilisation du produit des deux ventes des villas sises 5______ et 7______, sont corroborées par ses pièces et la documentation bancaire de R______ et de J______, obtenue sur ordres de dépôt. Ainsi, une partie du montant provenant de la vente de 2005 semble avoir servi à rembourser des prêts et des hypothèques au bénéfice de la plaignante et que cette dernière aurait aussi perçu une part sur la vente de 2007, soit CHF 411'000.-. La somme de CHF 1'500'000.- versée à L______ SA correspond quant à elle aux modalités décrites par le contrat de mandat fiduciaire du 16 février 2010. Plus généralement, la mère du recourant a affirmé, par déclaration devant notaire, que la répartition de ses biens correspondait à sa volonté, sans que des éléments probants ne viennent, à ce stade, mettre celle-ci en doute. Il en résulte qu'en l'état de la procédure et des – rares – actes d'instruction mis en œuvre par le Ministère public, le séquestre des parcelles concernées est disproportionné, eu égard aux faibles soupçons qui pèsent sur le recourant après plusieurs années de procédure. Cette disproportion est accentuée par les conséquences effectives de la mesure sur celui-ci, l'empêchant de remplir ses obligations contractuelles à un stade déjà bien avancé de la promesse de vente du 17 juillet 2019, et l'exposant à devoir payer des indemnités importantes. Si le Ministère public estime justifié de mettre en sûreté des valeurs pour garantir le paiement des frais de la procédure, des peines pécuniaires, des amendes et indemnités, ou en vue de confiscation, il pourrait, pour respecter le principe de la proportionnalité, séquestrer en mains du notaire le produit de la vente, sans mettre celle-ci en péril. En tout état, la plaignante demeure également libre d'user des voies</w:t>
      </w:r>
    </w:p>
    <w:p>
      <w:r>
        <w:t>- 14/15 - P/2934/2017 civiles à sa disposition pour sauvegarder les droits qu'elle allègue sur les parcelles concernées, la procédure pénale n'ayant pas pour vocation de se substituer au droit privé. L'ordonnance querellée sera par conséquent annulée.</w:t>
      </w:r>
    </w:p>
    <w:p>
      <w:r>
        <w:rPr>
          <w:b/>
        </w:rPr>
        <w:t>E. 3</w:t>
      </w:r>
    </w:p>
    <w:p>
      <w:r>
        <w:t>Fondé, le recours doit être admis.</w:t>
      </w:r>
    </w:p>
    <w:p>
      <w:r>
        <w:rPr>
          <w:b/>
        </w:rPr>
        <w:t>E. 4</w:t>
      </w:r>
    </w:p>
    <w:p>
      <w:r>
        <w:t>L'admission du recours ne donne pas lieu à la perception de frais (art. 428 al. 1 CPP).</w:t>
      </w:r>
    </w:p>
    <w:p>
      <w:r>
        <w:rPr>
          <w:b/>
        </w:rPr>
        <w:t>E. 5</w:t>
      </w:r>
    </w:p>
    <w:p>
      <w:r>
        <w:t>Le recourant, prévenu, conclut à des dépens, sans les chiffrer.</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rPr>
          <w:b/>
        </w:rPr>
        <w:t>E. 5.2</w:t>
      </w:r>
    </w:p>
    <w:p>
      <w:r>
        <w:t>En l'espèce, l'écriture de recours comprend trente-sept pages, dont vingt-six sont consacrées à la partie factuelle. La réplique ne s'avère pas nécessaire, dans la mesure où elle reprend des arguments déjà développés ou non pertinents pour la cause. Partant, l'indemnité sera fixée ex aequo et bono à CHF 1'800.-, TVA à 7.7% comprise, laquelle apparaît suffisante. * * * * *</w:t>
      </w:r>
    </w:p>
    <w:p>
      <w:r>
        <w:t>- 15/15 - P/2934/2017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