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ACPR/89/2020 vom 9. Januar 2020</w:t>
      </w:r>
    </w:p>
    <w:p>
      <w:r>
        <w:t>GE Cour de justice, 2020-01-09, FR</w:t>
      </w:r>
    </w:p>
    <w:p>
      <w:r>
        <w:rPr>
          <w:b/>
        </w:rPr>
        <w:t xml:space="preserve">Quelle: </w:t>
      </w:r>
      <w:r>
        <w:t>https://mcp.opencaselaw.ch/entscheid/ge_gerichte_ACPR_89_2020</w:t>
      </w:r>
    </w:p>
    <w:p>
      <w:r>
        <w:t>FR: GE_GERICHTE ACPR/89/2020 du 9 janvier 2020</w:t>
      </w:r>
    </w:p>
    <w:p>
      <w:r>
        <w:t>IT: GE_GERICHTE ACPR/89/2020 del 9 gennaio 2020</w:t>
      </w:r>
    </w:p>
    <w:p>
      <w:pPr>
        <w:pStyle w:val="Heading2"/>
      </w:pPr>
      <w:r>
        <w:t>Erwägungen</w:t>
      </w:r>
    </w:p>
    <w:p>
      <w:r>
        <w:rPr>
          <w:b/>
        </w:rPr>
        <w:t>E. 1</w:t>
      </w:r>
    </w:p>
    <w:p>
      <w:r>
        <w:t>Le recours est recevable pour avoir été déposé selon la forme et dans le délai prescrits (art. 90 al. 2, 385 al. 1 et 396 al. 1 CPP), concerner une ordonnance de séquestre, décision sujette à recours auprès de la Chambre de céans (art. 393 al. 1 let. a CPP), et émaner de l'acquéreur présumé des objets (art. 105 al. 1 let. f CPP) qui, partie à la procédure (art. 105 al. 2 CPP), a qualité pour agir, ayant un intérêt juridiquement protégé à la modification ou à l'annulation de la décision querellée (art. 382 al. 1 CPP). La question de savoir si le recourant a qualité pour engager seul B______, qu'il désigne comme une association, peut rester indécise, vu l'issue du recours. Il en va de même de D______, dont le nom n'apparaît sur aucune des pièces transmises par l'AFD au Ministère public.</w:t>
      </w:r>
    </w:p>
    <w:p>
      <w:r>
        <w:rPr>
          <w:b/>
        </w:rPr>
        <w:t>E. 2</w:t>
      </w:r>
    </w:p>
    <w:p>
      <w:r>
        <w:t>Le recourant conteste que les objets séquestrés soient des stèles funéraires et puissent être séquestrés.</w:t>
      </w:r>
    </w:p>
    <w:p>
      <w:r>
        <w:rPr>
          <w:b/>
        </w:rPr>
        <w:t>E. 2.1</w:t>
      </w:r>
    </w:p>
    <w:p>
      <w:r>
        <w:t>L'art. 24 al. 1 LTBC stipule que, pour autant que l'infraction ne tombe pas sous le coup d'une disposition prévoyant une peine plus sévère, est passible de l'emprisonnement pour un an au plus ou d'une amende de CHF 100’000.- au plus – recte : est passible d'une peine privative de liberté d'un an au plus ou d'une peine pécuniaire, selon les ajustements prescrits par l'art. 333 al. 2, al. 4 et al. 5 CP –, quiconque, intentionnellement : importe, vend, distribue, procure, acquiert ou exporte des biens culturels volés ou dont le propriétaire s'est trouvé dessaisi sans sa volonté (let. a); importe illicitement des biens culturels – notion qui est restrictive, puisqu'elle vise les importations effectuées en violation des clauses d'un accord bilatéral liant la Suisse à un État étranger (art. 2 al. 5 cum art. 7 LTBC), respectivement en violation d'une mesure temporaire prise par la Confédération au sens de l'art. 8 LTBC – ou fait une déclaration incorrecte lors de l'importation ou du transit de ces biens (let. c). Si l'auteur agit par négligence, la peine est une amende de CHF 20'000.- au plus (art. 24 al. 2 LTBC).</w:t>
      </w:r>
    </w:p>
    <w:p>
      <w:r>
        <w:rPr>
          <w:b/>
        </w:rPr>
        <w:t>E. 2.2</w:t>
      </w:r>
    </w:p>
    <w:p>
      <w:r>
        <w:t>Conformément à l'art. 197 al. 1 let. a CPP, les mesures de contrainte – au nombre desquelles figure le séquestre – doivent être prévues par la loi. Aux termes de l'art. 20 al. 1 LTBC, s'il y a lieu de soupçonner qu'un bien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 séquestre doit répondre à l'existence de soupçons suffisants laissant</w:t>
      </w:r>
    </w:p>
    <w:p>
      <w:r>
        <w:t>- 4/7 - P/59/2020 présumer une infraction (art. 197 al. 1 let. b CPP).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(A. KUHN/Y. JEANNERET (éds), Code de procédure pénale suisse, n. 17, 22 et 25 ad art. 263). 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2.3</w:t>
      </w:r>
    </w:p>
    <w:p>
      <w:r>
        <w:t>En l'espèce, la question n'est pas de savoir quelle est la qualification archéologique ou culturelle exacte des deux objets concernés, mais s'ils tombent sous le coup de la LTBC. Or, l'instruction de la cause vient de débuter. Dès lors, à ce stade de la procédure, il suffit, pour que le Ministère public puisse ordonner un séquestre, qu'il dispose d’un soupçon crédible d'une infraction à l'art. 24 LTBC. À cet égard, l'AFD, dans sa dénonciation, renvoie à la similitude du cas avec l'importation, signalée parallèlement – mais à laquelle le recourant n'est nullement mêlé –, de deux "monolithes" provenant d'une zone du Nigéria qui jouxte le Cameroun, mais qui pourraient aussi provenir du Cameroun occidental. Cet élément suffit, à ce stade précoce des investigations, pour rendre vraisemblable que les deux stèles placées sous séquestre sont des biens archéologiques, soumis à la LTBC. Pour n'avoir pas été déclarés comme tels à l'importation, les objets paraissent exposés à une confiscation. Peu importe que le recourant n'ait pas été le transitaire à l'origine des démarches douanières, car aucune faute de sa part ne serait requise pour justifier une éventuelle confiscation.</w:t>
      </w:r>
    </w:p>
    <w:p>
      <w:r>
        <w:t>- 5/7 - P/59/2020 Il s'ensuit que la mesure critiquée – qu'elle repose sur l'art. 263 CPP ou sur l'art. 20 LTBC, dispositions non mentionnées dans l'ordonnance attaquée – est fondée dans son principe et proportionnée. Elle sera donc confirmée.</w:t>
      </w:r>
    </w:p>
    <w:p>
      <w:r>
        <w:rPr>
          <w:b/>
        </w:rPr>
        <w:t>E. 3</w:t>
      </w:r>
    </w:p>
    <w:p>
      <w:r>
        <w:t>Comme le recours est mal fondé sous tous ses aspects, la Chambre pénale de recours pouvait décider d'emblée de le traiter sans échange d'écritures ni débats (art. 390 al. 2 et 5 a contrario CPP).</w:t>
      </w:r>
    </w:p>
    <w:p>
      <w:r>
        <w:rPr>
          <w:b/>
        </w:rPr>
        <w:t>E. 4</w:t>
      </w:r>
    </w:p>
    <w:p>
      <w:r>
        <w:t>Le recourant, qui n'a pas gain de cause, supportera les frais envers l'Etat (art. 428 al. 1 CPP), qui seront fixés à CHF 500.- en totalité, émolument de décision inclus (art. 3 cum art. 13 al. 1 Règlement fixant le tarif des frais en matière pénale [RTFMP; E 4 10 03]). * * * * *</w:t>
      </w:r>
    </w:p>
    <w:p>
      <w:r>
        <w:t>- 6/7 - P/59/2020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