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ACPR/898/2025 vom 16. September 2025</w:t>
      </w:r>
    </w:p>
    <w:p>
      <w:r>
        <w:t>GE Cour de justice, 2025-09-16, FR</w:t>
      </w:r>
    </w:p>
    <w:p>
      <w:r>
        <w:rPr>
          <w:b/>
        </w:rPr>
        <w:t xml:space="preserve">Quelle: </w:t>
      </w:r>
      <w:r>
        <w:t>https://mcp.opencaselaw.ch/entscheid/ge_gerichte_ACPR_898_2025</w:t>
      </w:r>
    </w:p>
    <w:p>
      <w:r>
        <w:t>FR: GE_GERICHTE ACPR/898/2025 du 16 septembre 2025</w:t>
      </w:r>
    </w:p>
    <w:p>
      <w:r>
        <w:t>IT: GE_GERICHTE ACPR/898/2025 del 16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l’ordonnance querellée (art. 382 al. 1 CPP).</w:t>
      </w:r>
    </w:p>
    <w:p>
      <w:r>
        <w:t>- 4/8 - P/20937/2025</w:t>
      </w:r>
    </w:p>
    <w:p>
      <w:r>
        <w:rPr>
          <w:b/>
        </w:rPr>
        <w:t>E. 2</w:t>
      </w:r>
    </w:p>
    <w:p>
      <w:r>
        <w:t>Le recourant conclut à l’annulation de l’ordonnance d’établissement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 Il peut également jouer un rôle préventif et participer à la protection de tiers (ATF 145 IV 263 consid. 3.3 et les références citées). La mesure ne saurait donc être ordonnée systématiquement en cas d’arrestation.</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À teneur des art. 4.1 et 4.2 de la Directive A.5 du Procureur général sur la gestion et la conservation des données signalétiques et des profils d'ADN, lorsque la police a</w:t>
      </w:r>
    </w:p>
    <w:p>
      <w:r>
        <w:t>- 5/8 - P/20937/2025 procédé au prélèvement d'un échantillon d'ADN, le procureur en charge de la procédure pénale ordonne l'établissement d'un profil d'ADN (art. 4.1), en cas d'infraction(s) sur laquelle (lesquelles) porte la procédure (art. 255 al. 1 CPP), lorsque (i) ladite procédure porte sur une liste déterminée d'infractions, parmi lesquelles figurent les actes d’ordre sexuel commis sur une personne incapable de discernement ou de résistance (art. 191 CP), (ii) la police a prélevé des traces biologiques susceptibles d'être comparées avec un profil d'ADN et (iii) l'établissement d'un profil d'ADN se justifie pour les besoins de l'enquête que la police a exposés dans son rapport (art. 4.2).</w:t>
      </w:r>
    </w:p>
    <w:p>
      <w:r>
        <w:rPr>
          <w:b/>
        </w:rPr>
        <w:t>E. 2.5</w:t>
      </w:r>
    </w:p>
    <w:p>
      <w:r>
        <w:t>Selon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w:t>
      </w:r>
    </w:p>
    <w:p>
      <w:r>
        <w:rPr>
          <w:b/>
        </w:rPr>
        <w:t>E. 2.6</w:t>
      </w:r>
    </w:p>
    <w:p>
      <w:r>
        <w:t>En l’espèce, l'établissement du profil d'ADN du recourant a été ordonné par le Ministère public afin d'élucider des infractions graves, à savoir des actes d’ordre sexuel commis sur une personne incapable de discernement ou de résistance (art. 191 CP) et un abus de la détresse ou de la dépendance (art. 193 CP). Ces infractions sont spécifiquement mentionnées dans la liste figurant à l'art. 4.2 de la Directive A.5 du Procureur général dont le libellé est "Infraction(s) sur laquelle (lesquelles) porte(nt) la procédure (art. 255 al. 1 CPP)" et qui, bien que n'ayant pas force de loi, est fondée sur l'art. 255 al. 1 CPP, lequel autorise l'établissement d'un profil d'ADN pour élucider des infractions en cours d'instruction. Certes, le recourant conteste les faits. Cela étant, on peine à comprendre dans quelle mesure l'établissement du profil d'ADN du recourant serait susceptible de faire avancer l'enquête. Il ne ressort en effet pas du dossier de la procédure que du matériel génétique aurait été prélevé sur le corps ou les habits de la victime. Ainsi, la mesure ordonnée, dans le cas particulier, ne parait pas indispensable, ni nécessaire à l'élucidation des faits. Au surplus, le Ministère public n'a pas fondé son ordonnance sur l'art. 255 al. 1bis CPP. En tout état, le recourant n'a pas d'antécédent judiciaire et le dossier ne comporte, en l'état, aucun élément laissant penser qu'il pourrait être, ou avoir été, impliqué dans d'autres infractions de ce type, lesquelles pourraient lui être attribuées si l'on était en mesure de comparer son profil d'ADN avec des traces prélevées sur les lieux de leur commission.</w:t>
      </w:r>
    </w:p>
    <w:p>
      <w:r>
        <w:t>- 6/8 - P/20937/2025 Ainsi, la mesure litigieuse, sans utilité pour l'instruction de la présente cause ou la recherche d'autres infractions, consacre une atteinte injustifiée aux droits fondamentaux du recourant. Autre sera la question, en cas de condamnation, de l'ordre d'établissement d'un profil d'ADN par le juge du fond sur la base de l'art. 257 CPP, ce à quoi le Ministère public pourra toujours conclure dans son éventuel acte d'accusation.</w:t>
      </w:r>
    </w:p>
    <w:p>
      <w:r>
        <w:rPr>
          <w:b/>
        </w:rPr>
        <w:t>E. 3</w:t>
      </w:r>
    </w:p>
    <w:p>
      <w:r>
        <w:t>Fondé, le recours doit être admis ; partant, l'ordonnance querellée sera annulée et les échantillons d'ADN prélevés détruits, le Ministère public étant chargé de l'exécution de cette mesure.</w:t>
      </w:r>
    </w:p>
    <w:p>
      <w:r>
        <w:rPr>
          <w:b/>
        </w:rPr>
        <w:t>E. 4</w:t>
      </w:r>
    </w:p>
    <w:p>
      <w:r>
        <w:t>L'admission du recours ne donne pas lieu à la perception de frais (art. 428 al. 1 CPP).</w:t>
      </w:r>
    </w:p>
    <w:p>
      <w:r>
        <w:rPr>
          <w:b/>
        </w:rPr>
        <w:t>E. 5</w:t>
      </w:r>
    </w:p>
    <w:p>
      <w:r>
        <w:t>Le recourant conclut à se voir allouer une indemnité de CHF 2'270.-, TVA à 8.1% incluse, à titre de dépens pour la procédure de recours.</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5.2</w:t>
      </w:r>
    </w:p>
    <w:p>
      <w:r>
        <w:t>En l'occurrence, les prétentions du recourant portent sur six heures d'activité au tarif de CHF 350.-/heure, TVA de 8.1% comprise. Pour un recours de neuf pages (page</w:t>
      </w:r>
    </w:p>
    <w:p>
      <w:r>
        <w:t>- 7/8 - P/20937/2025 de garde et conclusions comprises) comportant quatre pages de discussion juridique, la quotité des heures consacrées par le conseil à la rédaction du recours sera réduite à quatre heures, y compris la brève réplique. Une indemnité de CHF 1'513.40, TVA à 8.1% comprise, lui sera ainsi allouée. * * * * *</w:t>
      </w:r>
    </w:p>
    <w:p>
      <w:r>
        <w:t>- 8/8 - P/20937/2025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