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ACPR/898/2020 vom 21. August 2020</w:t>
      </w:r>
    </w:p>
    <w:p>
      <w:r>
        <w:t>GE Cour de justice, 2020-08-21, FR</w:t>
      </w:r>
    </w:p>
    <w:p>
      <w:r>
        <w:rPr>
          <w:b/>
        </w:rPr>
        <w:t xml:space="preserve">Quelle: </w:t>
      </w:r>
      <w:r>
        <w:t>https://mcp.opencaselaw.ch/entscheid/ge_gerichte_ACPR_898_2020</w:t>
      </w:r>
    </w:p>
    <w:p>
      <w:r>
        <w:t>FR: GE_GERICHTE ACPR/898/2020 du 21 août 2020</w:t>
      </w:r>
    </w:p>
    <w:p>
      <w:r>
        <w:t>IT: GE_GERICHTE ACPR/898/2020 del 21 agosto 2020</w:t>
      </w:r>
    </w:p>
    <w:p>
      <w:pPr>
        <w:pStyle w:val="Heading2"/>
      </w:pPr>
      <w:r>
        <w:t>Erwägungen</w:t>
      </w:r>
    </w:p>
    <w:p>
      <w:r>
        <w:rPr>
          <w:b/>
        </w:rPr>
        <w:t>E. 1</w:t>
      </w:r>
    </w:p>
    <w:p>
      <w:r>
        <w:t>Le recours est recevable contre la partie "non entrée en matière partielle" de l'ordonnance du 21 août 2020 (art. 310 al. 2 cum 322 al. 2 CPP; art. 393 al. 1 let. a CPP), pour émaner de la partie plaignante (art. 104 al. 1 let. b CPP), qui a qualité pour agir, ayant un intérêt juridiquement protégé à l'annulation de cette décision (art. 382 al. 1 CPP). La question d'une notification régulière de cette décision se pose d'autant moins que le Ministère public l'a envoyée – sous pli simple – à une adresse – celle de D______ (GE) – que la recourante n'habitait plus, précisément par suite du litige avec son bailleur. Dès lors qu'il est manifestement mal fondé, au sens de l'art. 390 al. 5 a contrario CPP, peu importe que l'acte de recours ne soit pas signé et ne comporte aucune motivation. Au demeurant, s'opposer à l'abandon d'une infraction signifie implicitement que son auteur présumé devrait être poursuivi.</w:t>
      </w:r>
    </w:p>
    <w:p>
      <w:r>
        <w:rPr>
          <w:b/>
        </w:rPr>
        <w:t>E. 2</w:t>
      </w:r>
    </w:p>
    <w:p>
      <w:r>
        <w:t>Il convient par conséquent d'examiner si la procédure révèle des charges suffisantes de violations de domicile répétées de la part du bailleur de la recourante.</w:t>
      </w:r>
    </w:p>
    <w:p>
      <w:r>
        <w:rPr>
          <w:b/>
        </w:rPr>
        <w:t>E. 2.1</w:t>
      </w:r>
    </w:p>
    <w:p>
      <w:r>
        <w:t>Selon l'art. 310 al. 1 let. a CPP, le ministère public rend immédiatement une ordonnance de non-entrée en matière s'il ressort de la dénonciation ou du rapport de police que les éléments constitutifs de l'infraction ne sont manifestement pas réunis.</w:t>
      </w:r>
    </w:p>
    <w:p>
      <w:r>
        <w:rPr>
          <w:b/>
        </w:rPr>
        <w:t>E. 2.2</w:t>
      </w:r>
    </w:p>
    <w:p>
      <w:r>
        <w:t>Selon l'art. 186 CP, est punissable pour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w:t>
      </w:r>
    </w:p>
    <w:p>
      <w:r>
        <w:rPr>
          <w:b/>
        </w:rPr>
        <w:t>E. 2.3</w:t>
      </w:r>
    </w:p>
    <w:p>
      <w:r>
        <w:t>En l'espèce, s'il pourrait apparaître relativement singulier que le bailleur ait conservé par-devers lui un jeu de clés du logement de la recourante, on observera qu'il habite lui-même la maison au sous-sol de laquelle se situait ce logement et qu'à titre d'exemple des allées et venues tenues pour intempestives par la recourante</w:t>
      </w:r>
    </w:p>
    <w:p>
      <w:r>
        <w:t>- 4/6 - P/9907/2020 figure précisément l'accès à la chaudière, que revendiquait la personne mise en cause, dans ses explications à la police. La recourante précise, par ailleurs, dans sa plainte que le passage par son logement était indispensable pour accéder à la chaudière. On ignore même si et comment la recourante, ayant droit du logement, a manifesté sa volonté de ne pas, ou plus, laisser le bailleur pénétrer dans les lieux à sa guise. Dans ces circonstances, qui plus est en l'absence de tout détail sur le nombre et la fréquence des intrusions reprochées au bailleur, il n'est pas possible de retenir contre celui-ci une violation de l'art. 186 CP. On ne voit pas quelle preuve pourrait être administrée pour établir l'infraction.</w:t>
      </w:r>
    </w:p>
    <w:p>
      <w:r>
        <w:rPr>
          <w:b/>
        </w:rPr>
        <w:t>E. 3</w:t>
      </w:r>
    </w:p>
    <w:p>
      <w:r>
        <w:t>Aussi, le recours s'avère-t-il infondé.</w:t>
      </w:r>
    </w:p>
    <w:p>
      <w:r>
        <w:rPr>
          <w:b/>
        </w:rPr>
        <w:t>E. 4</w:t>
      </w:r>
    </w:p>
    <w:p>
      <w:r>
        <w:t>10.03), fixés en totalité à CHF 500.-, pour tenir compte de sa situation personnelle et pécuniaire, qui n'apparaît pas favorable.</w:t>
      </w:r>
    </w:p>
    <w:p>
      <w:r>
        <w:rPr>
          <w:b/>
        </w:rPr>
        <w:t>E. 5</w:t>
      </w:r>
    </w:p>
    <w:p>
      <w:r>
        <w:t>L'acte de recours comportant aussi une opposition à l'ordonnance pénale rendue contre la recourante, il appartient au Ministère public de la traiter. ***</w:t>
      </w:r>
    </w:p>
    <w:p>
      <w:r>
        <w:t>- 5/6 - P/9907/2020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