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ACPR/897/2021 vom 3. Mai 2021</w:t>
      </w:r>
    </w:p>
    <w:p>
      <w:r>
        <w:t>GE Cour de justice, 2021-05-03, FR</w:t>
      </w:r>
    </w:p>
    <w:p>
      <w:r>
        <w:rPr>
          <w:b/>
        </w:rPr>
        <w:t xml:space="preserve">Quelle: </w:t>
      </w:r>
      <w:r>
        <w:t>https://mcp.opencaselaw.ch/entscheid/ge_gerichte_ACPR_897_2021</w:t>
      </w:r>
    </w:p>
    <w:p>
      <w:r>
        <w:t>FR: GE_GERICHTE ACPR/897/2021 du 3 mai 2021</w:t>
      </w:r>
    </w:p>
    <w:p>
      <w:r>
        <w:t>IT: GE_GERICHTE ACPR/897/2021 del 3 maggio 2021</w:t>
      </w:r>
    </w:p>
    <w:p>
      <w:pPr>
        <w:pStyle w:val="Heading2"/>
      </w:pPr>
      <w:r>
        <w:t>Erwägungen</w:t>
      </w:r>
    </w:p>
    <w:p>
      <w:r>
        <w:rPr>
          <w:b/>
        </w:rPr>
        <w:t>E. 1.1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- 6/10 - P/1015/2021</w:t>
      </w:r>
    </w:p>
    <w:p>
      <w:r>
        <w:rPr>
          <w:b/>
        </w:rPr>
        <w:t>E. 1.2</w:t>
      </w:r>
    </w:p>
    <w:p>
      <w:r>
        <w:t>Les pièces nouvelles produites par la recourante devant la Chambre de céans sont recevables (arrêt du Tribunal fédéral 1B_368/2014 du 5 février 2015 consid. 3.2 in fine).</w:t>
      </w:r>
    </w:p>
    <w:p>
      <w:r>
        <w:rPr>
          <w:b/>
        </w:rPr>
        <w:t>E. 2</w:t>
      </w:r>
    </w:p>
    <w:p>
      <w:r>
        <w:t>Dès lors que la Chambre de céans jouit d'un plein pouvoir de cognition en droit et en fait (art. 391 al. 1 et 393 al. 2 CPP) (ATF 137 I 195 consid. 2.3.2 p. 197; arrêt du Tribunal fédéral 1B_524/2012 du 15 novembre 2012 consid. 2.1), les éventuelles constatations incomplètes ou inexactes du Ministère public auront été corrigées dans l'état de fait établi ci-devant.</w:t>
      </w:r>
    </w:p>
    <w:p>
      <w:r>
        <w:rPr>
          <w:b/>
        </w:rPr>
        <w:t>E. 3</w:t>
      </w:r>
    </w:p>
    <w:p>
      <w:r>
        <w:t>La recourante reproche au Ministère public de ne pas être entré en matière sur sa plainte pour avoir considéré que les conditions de l'art. 52 CP étaient remplies (art. 310 al. 1 let. c cum art. 8 CPP).</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w:t>
      </w:r>
    </w:p>
    <w:p>
      <w:r>
        <w:rPr>
          <w:b/>
        </w:rPr>
        <w:t>E. 3.2</w:t>
      </w:r>
    </w:p>
    <w:p>
      <w:r>
        <w:t>Le Ministère public rend également immédiatement une ordonnance de non- entrée en matière s'il ressort de la dénonciation que les conditions mentionnées à l'art. 8 CPP sont remplies et imposent de renoncer à l'ouverture d'une poursuite pénale (art. 310 al. 1 let. c CPP). L'art. 8 CPP prévoit que le ministère public peut renoncer à toute poursuite pénale, notamment lorsque les conditions visées à l'art. 52 CP sont remplies. Aux termes de cette disposition, l'autorité compétente renonce à poursuivre l'auteur, à le renvoyer devant le juge ou à lui infliger une peine, si tant sa culpabilité que les conséquences de son acte sont de peu d'importance. Il s'agit donc de deux conditions cumulatives (M. NIGGLI / H. WIPRÄCHTIGER, Basler Kommentar Strafrecht I : Art. 1-110 StGB, Jugendstrafgesetz, 4e éd., Bâle 2019, n. 19 ad art. 52). Pour décider si les infractions pour lesquelles la culpabilité et les conséquences de l'acte sont de peu d'importance, les autorités compétentes doivent apprécier chaque cas particulier en fonction du cas normal de l'infraction définie par le législateur; on ne saurait en</w:t>
      </w:r>
    </w:p>
    <w:p>
      <w:r>
        <w:t>- 7/10 - P/1015/2021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arrêt du Tribunal fédéral 6B_839/2015 du 26 août 2016 consid. 6.1).</w:t>
      </w:r>
    </w:p>
    <w:p>
      <w:r>
        <w:rPr>
          <w:b/>
        </w:rPr>
        <w:t>E. 3.3</w:t>
      </w:r>
    </w:p>
    <w:p>
      <w:r>
        <w:t>L'art. 144bis CP vise, sur plainte, celui qui, sans droit, aura modifié, effacé, ou mis hors d'usage des données enregistrées ou transmises électroniquement ou selon un mode similaire.</w:t>
      </w:r>
    </w:p>
    <w:p>
      <w:r>
        <w:rPr>
          <w:b/>
        </w:rPr>
        <w:t>E. 3.3.1</w:t>
      </w:r>
    </w:p>
    <w:p>
      <w:r>
        <w:t>Contrairement aux art. 143 et 143bis CP, la protection pénale est donnée ici de manière complète, soit même si les données ne sont pas spécialement protégées contre tout accès et même si celles-ci ont été mises à la disposition d'un tiers. Par exception, si ce pouvoir de disposition implique le droit de modifier ou de détruire les données, l'art. 144bis CP, qui stipule que l'altération doit intervenir sans droit, ne s'appliquera pas (A. MACALUSO / L. MOREILLON / N. QUELOZ (éds), Commentaire romand, Code pénal II, vol. II, Partie spéciale : art. 111-392 CP, Bâle 2017, n. 2 ad art. 144bis). La doctrine s'accorde ainsi à retenir une interprétation restrictive de l'art. 144bis CP, dans la mesure où une violation du droit d'autrui est une condition préalable à son application. En d'autres termes : seuls ceux qui ne sont pas – ou du moins pas exclusivement – habilités à disposer des données peuvent commettre une détérioration de données. Par conséquent, toute personne qui endommage des données "propres" ne peut être poursuivie que si une autre personne a un intérêt direct et juridiquement protégé à leur intégrité (M. NIGGLI / H. WIPRÄCHTIGER, op. cit, n. 12 ad art. 144bis).</w:t>
      </w:r>
    </w:p>
    <w:p>
      <w:r>
        <w:rPr>
          <w:b/>
        </w:rPr>
        <w:t>E. 3.3.2</w:t>
      </w:r>
    </w:p>
    <w:p>
      <w:r>
        <w:t>Le comportement punissable consiste surtout à effacer ou à modifier des données de manière indue. Toute modification est en principe suffisante, de même que toutes les formes de détériorations des données; la donnée est effacée dès que l'auteur la fait disparaître du support informatique; peu importe à cet égard que le lésé dispose de la même donnée sur un autre support ou qu'il puisse retrouver l'information. La donnée est mise hors d'usage lorsque l'auteur la rend inaccessible, même pour une durée limitée. L'art. 144bis CP englobe ainsi des formes d'atteintes qui n'aboutissent pas forcément à la destruction ou à la modification des données, mais dont les effets sont comparables, dans la mesure où l'ayant droit est empêché d'accéder à ses données et, par conséquent, de les utiliser (cf. par ex. la transformation indue d'un mot de passe ou d'un système de codage; B. CORBOZ,</w:t>
      </w:r>
    </w:p>
    <w:p>
      <w:r>
        <w:t>- 8/10 - P/1015/2021 Les infractions en droit suisse, Berne 2010, n. 4 s. ad art. 144bis; voir aussi A. MACALUSO / L. MOREILLON / N. QUELOZ (éds), op. cit, n. 4 ad art. 144bis). L'infraction est intentionnelle, le dol éventuel étant suffisant (A. MACALUSO / L. MOREILLON / N. QUELOZ (éds), op.cit, n. 7 ad art. 144bis). Elle n'est pas réalisée si une donnée est effacée ou altérée à la suite d'une erreur de manipulation (B. CORBOZ, op. cit., n. 11 ad art. 144bis).</w:t>
      </w:r>
    </w:p>
    <w:p>
      <w:r>
        <w:rPr>
          <w:b/>
        </w:rPr>
        <w:t>E. 3.4</w:t>
      </w:r>
    </w:p>
    <w:p>
      <w:r>
        <w:t>En l'espèce, les données litigieuses concernent l'entier des e-mails professionnels du mis en cause depuis son engagement jusqu'à tout le moins son licenciement, soit sur une période minimum de neuf mois. Selon le règlement de la société, approuvé et signé par le précité, le contenu de la messagerie professionnelle appartient à la recourante. En supprimant du serveur informatique l'intégralité de ces données, le mis en cause a empêché son employeur d'y accéder. Au vu de la position du concerné au sein de la société, il faut reconnaître que le contenu des e-mails effacés peut avoir une importance pour la recourante. C'est donc à juste titre que cette dernière critique l'application, dans l'ordonnance querellée, de l'art. 52 CP, et ce, même si les données ont été sauvegardées sur un autre support. Le concerné a, certes, déclaré qu'il ignorait avoir effacé les éléments du serveur, étant persuadé que la manœuvre effectuée le jour de son licenciement n'affecterait que les e-mails situés sur son ordinateur personnel, si bien qu'il n'avait aucune intention de nuire à la société. Cela étant, la recourante a apporté des éléments qui semblent contredire les déclarations du précité quant à la manipulation informatique opérée par ce dernier ou, du moins, les mettre en doute. Si le mis en cause avait effectivement supprimé l'intégralité de ses e-mails le jour de son licenciement, comme il le prétend, on peine à comprendre quel aurait été son but de se connecter à nouveau sur sa boîte professionnelle, pourtant vide, plus d'un mois après, alors qu'il ne traitait plus les dossiers de la société. Quoi qu'il en soit, qu'il ait procédé de cette manière ou un mois après son licenciement n'est pas pertinent au regard de l'application de l'art. 52 CP. En effet, comme exposé ci-dessus, pour retenir le cas de peu de gravité, la réalisation des conditions cumulatives de cette disposition doit être flagrante, au risque de vider de sens les dispositions pénales. Or, en l'espèce, la date de l'infraction dénoncée n'est pas de nature, en l'absence d'éléments concrets, à diminuer l'éventuelle culpabilité du mis en cause ni les conséquences de son acte, au point de renoncer à toute poursuite pénale.</w:t>
      </w:r>
    </w:p>
    <w:p>
      <w:r>
        <w:t>- 9/10 - P/1015/2021 En outre, le mis en cause a admis que la sauvegarde effectuée était en lien avec le litige civil l'opposant à la société. Or, s'il ignorait que ses e-mails avaient été également supprimés du serveur informatique, on ne voit pas en quoi cette sauvegarde lui aurait été utile dans ce litige, d'autant plus qu'elle contrevenait au règlement de la société. Il était d'ailleurs prêt à remettre ce support à son employeur uniquement sous certaines conditions, laissant ainsi douter de sa réelle volonté de s'exécuter. Au vu des circonstances du cas d'espèce, l'enregistrement des données supprimées en format "txt" ne saurait, en l'état, suffire pour retenir un cas de peu de gravité, le Ministère public s'étant, à cet égard, contenté des allégations du mis en cause, sans procéder à une quelconque vérification du contenu de cette sauvegarde. Au demeurant, le fait que la recourante lui ait laissé l'accès à sa boîte mail après son licenciement, n'est d'aucune utilité pour apprécier le cas de peu de gravité. À ce jour, des actes d'enquête paraissent envisageables, comme la confrontation des parties et du mis en cause aux dernières pièces produites par la recourante, l'investigation devant en effet se concentrer sur les circonstances des opérations informatiques dénoncées, lesquelles ne semblent pas avoir été clairement élucidées. Au vu de ce qui précède, le Ministère public ne pouvait considérer, en l'état, que les conditions de l'art. 52 CP étaient remplies.</w:t>
      </w:r>
    </w:p>
    <w:p>
      <w:r>
        <w:rPr>
          <w:b/>
        </w:rPr>
        <w:t>E. 4</w:t>
      </w:r>
    </w:p>
    <w:p>
      <w:r>
        <w:t>Fondé, le recours sera admis. L'ordonnance querellée sera annulée et la cause renvoyée au Ministère public pour qu'il ouvre une instruction.</w:t>
      </w:r>
    </w:p>
    <w:p>
      <w:r>
        <w:rPr>
          <w:b/>
        </w:rPr>
        <w:t>E. 5</w:t>
      </w:r>
    </w:p>
    <w:p>
      <w:r>
        <w:t>L'admission du recours ne donne pas lieu à la perception de frais (art. 428 al. 1 CPP). Les sûretés versées par la recourante lui seront restituées.</w:t>
      </w:r>
    </w:p>
    <w:p>
      <w:r>
        <w:rPr>
          <w:b/>
        </w:rPr>
        <w:t>E. 6</w:t>
      </w:r>
    </w:p>
    <w:p>
      <w:r>
        <w:t>La recourante, partie plaignante, agissant en personne, n'a droit à aucun dépens. * * * * *</w:t>
      </w:r>
    </w:p>
    <w:p>
      <w:r>
        <w:t>- 10/10 - P/1015/2021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