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ACPR/896/2024 vom 4. Dezember 2024</w:t>
      </w:r>
    </w:p>
    <w:p>
      <w:r>
        <w:t>GE Cour de justice, 2024-12-04, FR</w:t>
      </w:r>
    </w:p>
    <w:p>
      <w:r>
        <w:rPr>
          <w:b/>
        </w:rPr>
        <w:t xml:space="preserve">Quelle: </w:t>
      </w:r>
      <w:r>
        <w:t>https://mcp.opencaselaw.ch/entscheid/ge_gerichte_ACPR_896_2024</w:t>
      </w:r>
    </w:p>
    <w:p>
      <w:r>
        <w:t>FR: GE_GERICHTE ACPR/896/2024 du 4 décembre 2024</w:t>
      </w:r>
    </w:p>
    <w:p>
      <w:r>
        <w:t>IT: GE_GERICHTE ACPR/896/2024 del 4 dicembre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faits nouveaux et les pièces nouvelles sont également recevables (arrêt du Tribunal fédéral 1B_550/2022 du 17 novembre 2022 consid. 2.1).</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w:t>
      </w:r>
    </w:p>
    <w:p>
      <w:r>
        <w:rPr>
          <w:b/>
        </w:rPr>
        <w:t>E. 2.2</w:t>
      </w:r>
    </w:p>
    <w:p>
      <w:r>
        <w:t>L'art. 186 CP,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2.3.1. L'auteur pénètre dans le domicile dès qu'il s'introduit dans l'espace protégé contre la volonté de l'ayant droit (A. MACALUSO / L. MOREILLON / N. QUELOZ (éds), Commentaire romand, Code pénal II, vol. II, Partie spéciale : art. 111-392 CP, Bâle 2017, n. 31 ad art. 186). 2.3.2. La violation de domicile n'est punissable que si elle est commise intentionnellement. L'intention comprend la conscience du fait que l'on pénètre contre la volonté de l'ayant droit (ATF 90 IV 74 consid. 3). Le dol éventuel suffit (ATF 108 IV 33 consid. 5c) JdT 1983 IV 74 et A. MACALUSO / L. MOREILLON / N. QUELOZ (éds), op. cit., n. 44 ad art. 186).</w:t>
      </w:r>
    </w:p>
    <w:p>
      <w:r>
        <w:t>- 4/5 - P/6534/2024</w:t>
      </w:r>
    </w:p>
    <w:p>
      <w:r>
        <w:rPr>
          <w:b/>
        </w:rPr>
        <w:t>E. 2.4</w:t>
      </w:r>
    </w:p>
    <w:p>
      <w:r>
        <w:t>En l'espèce, le raisonnement du Ministère public ne résiste pas à l'examen. Au moment de son interpellation, le mis en cause faisait l'objet de deux interdictions d'accès, valablement notifiées, qui mentionnaient distinctivement le parking de A______ et la galerie de C______. En outre, ses précédentes condamnations portaient également sur sa présence dans ladite galerie et non dans le parking. Le périmètre prohibé était ainsi suffisamment précis et, surtout, bien connu du mis en cause. Il ne pouvait dès lors ignorer que sa présence sur les lieux lui était interdite. En outre, quelques jours après son arrestation, il a réitéré ses agissements, sans contester cette fois l'ordonnance pénale le déclarant coupable de violation de domicile pour des faits identiques. Dans ces circonstances, il y a lieu de retenir que les éléments constitutifs de l'infraction visée à l'art. 186 CP sont réalisés.</w:t>
      </w:r>
    </w:p>
    <w:p>
      <w:r>
        <w:rPr>
          <w:b/>
        </w:rPr>
        <w:t>E. 3</w:t>
      </w:r>
    </w:p>
    <w:p>
      <w:r>
        <w:t>Fondé, le recours sera dès lors admis. Le chiffre 1 du dispositif de l'ordonnance querellée sera annulé et la cause retournée au Ministère public pour qu'il rende une ordonnance pénale contre le mis en cause ou le renvoie en jugement par-devant le Tribunal pénal (art. 397 al. 3 CPP).</w:t>
      </w:r>
    </w:p>
    <w:p>
      <w:r>
        <w:rPr>
          <w:b/>
        </w:rPr>
        <w:t>E. 4</w:t>
      </w:r>
    </w:p>
    <w:p>
      <w:r>
        <w:t>L'admission du recours ne donne pas lieu à la perception de frais (art. 428 al. 1 CPP).</w:t>
      </w:r>
    </w:p>
    <w:p>
      <w:r>
        <w:rPr>
          <w:b/>
        </w:rPr>
        <w:t>E. 5</w:t>
      </w:r>
    </w:p>
    <w:p>
      <w:r>
        <w:t>Bien qu'obtenant en partie gain de cause, la recourante, qui agit en personne et ne chiffre ni ne justifie ses dépenses liées à la procédure, ne peut prétendre à des dépens (art. 433 al. 2 CPP). * * * * *</w:t>
      </w:r>
    </w:p>
    <w:p>
      <w:r>
        <w:t>- 5/5 - P/6534/2024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