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ACPR/894/2025 vom 12. Oktober 2025</w:t>
      </w:r>
    </w:p>
    <w:p>
      <w:r>
        <w:t>GE Cour de justice, 2025-10-12, FR</w:t>
      </w:r>
    </w:p>
    <w:p>
      <w:r>
        <w:rPr>
          <w:b/>
        </w:rPr>
        <w:t xml:space="preserve">Quelle: </w:t>
      </w:r>
      <w:r>
        <w:t>https://mcp.opencaselaw.ch/entscheid/ge_gerichte_ACPR_894_2025</w:t>
      </w:r>
    </w:p>
    <w:p>
      <w:r>
        <w:t>FR: GE_GERICHTE ACPR/894/2025 du 12 octobre 2025</w:t>
      </w:r>
    </w:p>
    <w:p>
      <w:r>
        <w:t>IT: GE_GERICHTE ACPR/894/2025 del 12 ottobre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- 5/9 - P/23067/2025</w:t>
      </w:r>
    </w:p>
    <w:p>
      <w:r>
        <w:rPr>
          <w:b/>
        </w:rPr>
        <w:t>E. 2</w:t>
      </w:r>
    </w:p>
    <w:p>
      <w:r>
        <w:t>Le recourant ne conteste pas les charges. Il peut donc être renvoyé, en tant que de besoin, à la motivation adoptée par le premier juge sur ce point (art 82 al. 4 CPP; ACPR/747/2020 du 22 octobre 2020 consid. 2 et les références), laquelle expose les indices graves et concordants pesant sur le prévenu.</w:t>
      </w:r>
    </w:p>
    <w:p>
      <w:r>
        <w:rPr>
          <w:b/>
        </w:rPr>
        <w:t>E. 3</w:t>
      </w:r>
    </w:p>
    <w:p>
      <w:r>
        <w:t>Le risque de réitération n'ayant pas été retenu par le premier juge, il n'y pas besoin de s'y pencher.</w:t>
      </w:r>
    </w:p>
    <w:p>
      <w:r>
        <w:rPr>
          <w:b/>
        </w:rPr>
        <w:t>E. 4</w:t>
      </w:r>
    </w:p>
    <w:p>
      <w:r>
        <w:t>Le recourant conteste tout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l'espèce, le recourant, de nationalité algérienne, indique être arrivé en Suisse deux mois plus tôt, n’y posséder aucune famille et n’y avoir jamais travaillé. Certes, il y a déposé une demande d’asile. Une telle démarche ne saurait toutefois créer des attaches suffisantes avec notre pays excluant toutes velléités de fuite de sa part, que ce soit sous la forme d’un départ pour l’étranger ou d’une disparition dans la clandestinité. Au vu de son absence d’attaches réelles avec la Suisse, il existe un risque concret qu'il prenne la fuite et ne se présente pas aux éventuels actes ultérieurs de la procédure, ni à l'audience de jugement. Le fait que le recourant ait collaboré avec la police ou qu’il n’ait jamais tenté de fuir n'y change rien. On ne voit au demeurant pas quand il aurait pu tenter de le faire, étant à cet égard rappelé qu’il a été interpellé, immédiatement après les faits, alors qu’il se trouvait sur le toit de la maison. C'est ainsi à bon droit que le premier juge a retenu l'existence d'un risque de fuite.</w:t>
      </w:r>
    </w:p>
    <w:p>
      <w:r>
        <w:rPr>
          <w:b/>
        </w:rPr>
        <w:t>E. 5</w:t>
      </w:r>
    </w:p>
    <w:p>
      <w:r>
        <w:t>L'admission de ce risque, indiscutable, dispense l'autorité de recours d'examiner si s'y ajoute un risque – alternatif – de collusion (arrêts du Tribunal fédéral 7B_144/2025 du 24 mars 2025 consid. 3.3 ; 7B_188/2024 du 12 mars 2024 consid. 6.3.1 et 1B_197/2023 du 4 mai 2023 consid. 4.5).</w:t>
      </w:r>
    </w:p>
    <w:p>
      <w:r>
        <w:rPr>
          <w:b/>
        </w:rPr>
        <w:t>E. 6</w:t>
      </w:r>
    </w:p>
    <w:p>
      <w:r>
        <w:t>Le recourant soutient que, même à supposer qu’un risque de fuite dût être retenu, il pourrait être pallié par des mesures de substitution, en particulier par une obligation de se présenter régulièrement à un service administratif.</w:t>
      </w:r>
    </w:p>
    <w:p>
      <w:r>
        <w:t>- 6/9 - P/23067/2025</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des documents d'identité et autres documents officiels (al. 2 let. b), l'assignation à résidence ou l'interdiction de se rendre dans un certain lieu ou un certain immeuble (al. 2 let. c), l'obligation de se présenter régulièrement à un service administratif (al. 2 let. d), d'avoir un travail régulier (al. 2 let. e) et de se soumettre à un traitement médical ou à des contrôles (al. 2 let. f). La liste des mesures de substitution énoncée à l'art. 237 CPP n'est pas exhaustive (arrêt du Tribunal fédéral 1B_654/2011 du 7 décembre 2011 consid. 4.2).</w:t>
      </w:r>
    </w:p>
    <w:p>
      <w:r>
        <w:rPr>
          <w:b/>
        </w:rPr>
        <w:t>E. 6.2</w:t>
      </w:r>
    </w:p>
    <w:p>
      <w:r>
        <w:t>En l'espèce, la mesure proposée par le recourant ne permettrait pas de l’empêcher de franchir la frontière par voie terrestre pour se rendre à l'étranger, ou de disparaitre dans la clandestinité, ni aucune autre – le précité n’en proposant au demeurant pas –, mais tout au plus de constater sa fuite a posteriori (ATF 145 IV 503 consid. 3.3.1), ce qu’a constaté à juste titre le premier juge.</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7.2</w:t>
      </w:r>
    </w:p>
    <w:p>
      <w:r>
        <w:t>En l'espèce, quand bien même le Ministère public a d’ores et déjà procédé à certains des actes d'instruction annoncés, la durée de la détention provisoire, prononcée jusqu'au 21 novembre 2025, n’apparaît pas disproportionnée et, au contraire, nécessaire afin de permettre à cette autorité de réceptionner la plainte de C______, rendre un avis de prochaine clôture de l’instruction, procéder éventuellement aux divers actes d’instruction que les parties pourraient être amenées à requérir, puis, cela fait, rédiger cas échéant un acte d’accusation en vue du renvoi en jugement du recourant.</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w:t>
      </w:r>
    </w:p>
    <w:p>
      <w:r>
        <w:t>- 7/9 - P/23067/2025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du présent recours ne procède pas d'un abus. L'indemnité du défenseur d'office sera fixée à la fin de la procédure (art. 135 al. 2 CPP). * * * * *</w:t>
      </w:r>
    </w:p>
    <w:p>
      <w:r>
        <w:t>- 8/9 - P/23067/2025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