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ACPR/891/2025 vom 18. Juli 2025</w:t>
      </w:r>
    </w:p>
    <w:p>
      <w:r>
        <w:t>GE Cour de justice, 2025-07-18, FR</w:t>
      </w:r>
    </w:p>
    <w:p>
      <w:r>
        <w:rPr>
          <w:b/>
        </w:rPr>
        <w:t xml:space="preserve">Quelle: </w:t>
      </w:r>
      <w:r>
        <w:t>https://mcp.opencaselaw.ch/entscheid/ge_gerichte_ACPR_891_2025</w:t>
      </w:r>
    </w:p>
    <w:p>
      <w:r>
        <w:t>FR: GE_GERICHTE ACPR/891/2025 du 18 juillet 2025</w:t>
      </w:r>
    </w:p>
    <w:p>
      <w:r>
        <w:t>IT: GE_GERICHTE ACPR/891/2025 del 18 luglio 2025</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La qualité de lésé et, donc, de partie plaignante a été déniée au recourant par l’autorité précédente. Dès lors qu'elle est déterminante pour juger de la recevabilité du recours (art. 382 al. 1 CPP), qui doit émaner d'une partie à la procédure (notamment, la partie plaignante : art. 104 al. 1 let. b CPP), il convient d'examiner cette question d’entrée de cause.</w:t>
      </w:r>
    </w:p>
    <w:p>
      <w:r>
        <w:rPr>
          <w:b/>
        </w:rPr>
        <w:t>E. 2.2.1</w:t>
      </w:r>
    </w:p>
    <w:p>
      <w:r>
        <w:t>En vertu de l'art. 118 CPP, on entend par partie plaignante le lésé qui déclare expressément vouloir participer à la procédure comme demandeur au pénal ou au civil (al. 1). Une plainte pénale équivaut à une telle déclaration (al. 2).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 Pour être directement touché, le lésé doit subir une atteinte en rapport de causalité directe avec l'infraction poursuivie, ce qui exclut les dommages par ricochet (arrêts du Tribunal fédéral 7B_11/2023 du 27 septembre 2023 consid. 3.2.1; 6B_191/2021 du 11 août 2021 consid. 3.1).</w:t>
      </w:r>
    </w:p>
    <w:p>
      <w:r>
        <w:rPr>
          <w:b/>
        </w:rPr>
        <w:t>E. 2.2.2</w:t>
      </w:r>
    </w:p>
    <w:p>
      <w:r>
        <w:t>Commet un abus de confiance au sens de l'art. 138 ch. 1 al. 2 CP, celui qui, sans droit, aura employé à son profit ou au profit d'un tiers, des valeurs patrimoniales qui lui avaient été confiées.</w:t>
      </w:r>
    </w:p>
    <w:p>
      <w:r>
        <w:t>- 6/10 - P/13793/2025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121 IV 23 consid. 1c; arrêt du Tribunal fédéral 6B_717/2018 du 10 septembre 2018 consid. 5.1; A. MACALUSO/ L. MOREILLON /N. QUELOZ (éds), Commentaire romand, Code pénal II, Art. 111-392 CP, 2ème éd., Bâle 2025, n. 3 et 33 ad art. 138). La notion de valeurs patrimoniales confiées est envisagée à l’aune de deux hypothèses lorsqu’il est question de transferts de somme d’argent. Soit les fonds sont confiés à l’auteur par celui qui les lui remet, soit les fonds sont confiés par celui pour lequel l’auteur les encaisse. Selon la jurisprudence, il ne sera question de valeurs patrimoniales confiées que si l’auteur agit comme auxiliaire du paiement ou de l’encaissement, en tant que représentant direct ou indirect, notamment comme employé d’une entreprise, organe d’une personne morale ou comme fiduciaire. En revanche, cette condition n’est pas remplie si l’auteur reçoit l’argent pour lui-même, à titre de contrepartie d’une prestation qu’il a fournie pour son propre compte, même s’il est tenu de verser ensuite une somme équivalente sur la base d’un rapport juridique distinct. L’inexécution de l’obligation de reverser une somme d’argent ne suffit pas à elle seule à constituer un abus de confiance (M. DUPUIS / L. MOREILLON / C. PIGUET / S. BERGER / M. MAZOU / V. RODIGARI (éds), Code pénal - Petit commentaire, 2ème éd., Bâle 2017, n. 32 ad art. 138 CP; A. MACALUSO/ L. MOREILLON /N. QUELOZ (éds), op. cit., n. 36 ad art. 138).</w:t>
      </w:r>
    </w:p>
    <w:p>
      <w:r>
        <w:rPr>
          <w:b/>
        </w:rPr>
        <w:t>E. 2.3</w:t>
      </w:r>
    </w:p>
    <w:p>
      <w:r>
        <w:t>L’art. 324a al. 1 à 3 du Code des obligations (CO) règle le droit du travailleur de percevoir son salaire, pendant un temps limité, lorsqu’il est empêché de fournir sa prestation, sans faute de sa part, pour une cause inhérente à sa personne, telle que la maladie, l’accident ou la grossesse (al. 1 et 3). L’art. 324a al. 4 CO permet de substituer, notamment par un accord écrit, une couverture d’assurance à l’obligation légale de payer le salaire, à condition toutefois que les travailleurs bénéficient de prestations au moins équivalentes.</w:t>
      </w:r>
    </w:p>
    <w:p>
      <w:r>
        <w:rPr>
          <w:b/>
        </w:rPr>
        <w:t>E. 2.4</w:t>
      </w:r>
    </w:p>
    <w:p>
      <w:r>
        <w:t>Aux termes de l’art. 95a de la loi fédérale sur le contrat d’assurance (LCA) – qui présente un caractère impératif en ce sens qu’il ne peut être modifié au détriment de l’ayant droit (art. 98 LCA) –, l’assurance collective contre les accidents ou la maladie donne au bénéficiaire, dès qu’un accident ou une maladie est survenu, un droit propre contre l’entreprise d’assurance. La volonté du législateur est ainsi de protéger l’assuré contre des comportements du preneur d’assurance susceptibles de mettre en danger la prestation d’assurance. Ce droit propre a pour conséquence que seul le bénéficiaire (assuré) est titulaire de la prestation d’assurance. La nature même du contrat d’assurance collective d’indemnité</w:t>
      </w:r>
    </w:p>
    <w:p>
      <w:r>
        <w:t>- 7/10 - P/13793/2025 journalière présuppose que celle-ci soit acquittée entre les mains de l’assuré en faveur duquel il a été conclu, ledit paiement intervenant en lieu et place de l’obligation de l’employeur de verser le salaire. Ce contrat (ou, plus correctement, son mode d’exécution) peut être comparé à une stipulation pour autrui parfaite au sens de l’art. 112 al. 2 CO : le tiers dispose d’un droit de créance propre contre le promettant et peut agir en exécution dès que la créance est exigible, le débiteur ne pouvant par ailleurs se libérer qu’en faisant sa prestation au tiers. L’assuré ne devient toutefois pas partie au contrat et, partant, l’employeur (preneur d’assurance) est toujours le débiteur des primes d’assurance (ATF 141 III 112 consid. 4.3; ATAS/624/2023 du 24 août 2023 consid. 14).</w:t>
      </w:r>
    </w:p>
    <w:p>
      <w:r>
        <w:rPr>
          <w:b/>
        </w:rPr>
        <w:t>E. 2.5</w:t>
      </w:r>
    </w:p>
    <w:p>
      <w:r>
        <w:t>Une non-entrée en matière s'impose lorsque le litige est de nature purement civile (art. 310 al. 1 let. a CPP; ATF 137 IV 285 consid. 2.3).</w:t>
      </w:r>
    </w:p>
    <w:p>
      <w:r>
        <w:rPr>
          <w:b/>
        </w:rPr>
        <w:t>E. 3</w:t>
      </w:r>
    </w:p>
    <w:p>
      <w:r>
        <w:t>En l’espèce, il est constant que B______ SA, en tant que preneur d'assurance, et H______, en qualité d'assureur, ont conclu un contrat collectif d'indemnités journalières selon la LCA et que, par cette convention, le recourant, en tant qu’employé de cette première société, était couvert pour le risque de perte de gain dû à la maladie, disposant à cet égard d’un droit propre contre l'assureur en vertu de l'art. 95a LCA. Le recourant soutient que, dans ces conditions, les indemnités journalières pour cause de maladie versées par H______ à B______ SA représentaient des valeurs patrimoniales confiées à son employeur pour les lui être reversées et que, dès lors que celles-ci ne lui ont pas été restituées en totalité, il aurait la qualité de lésé pour poursuivre ce dernier du chef d’abus de confiance. Cela étant, il convient de ne pas perdre de vue le fait que le risque de perte de gain en cas de maladie est en principe couvert pour l’employé par l’obligation faite à l’employeur de continuer à verser le salaire, telle qu’elle est définie dans le CO. Cette obligation a très souvent pour conséquence que l’employeur conclut une assurance d’indemnités journalières [fondée sur la LAmal ou sur la LCA], laquelle n’est toutefois pas obligatoire. Dans ce cadre, tel qu’exposé supra (consid. 2.4.), l’assuré ne devient pas partie au contrat d’assurance et l’employeur est le débiteur des primes. Il existe donc, dans cette configuration, deux contrats distincts, à savoir un contrat d’assurance entre l’employeur et l’assurance perte de gain, et un contrat de travail entre l’employeur et l’employé. Dans ces conditions, quand bien même il disposait d’un droit propre envers l’assurance, on ne saurait en déduire que cela revenait de la sorte pour le recourant, en sa qualité d’employé, à confier des valeurs patrimoniales – en la forme d’indemnités journalières – à son employeur, qui l’a assuré pour couvrir son propre risque d’avoir à continuer à verser son salaire en cas de maladie.</w:t>
      </w:r>
    </w:p>
    <w:p>
      <w:r>
        <w:t>- 8/10 - P/13793/2025 En définitive, il apparaît que le titulaire du bien juridique protégé par l'art. 138 ch. 1 al. 2 CP est H______, puisque ce n’est que cette dernière qui a concrètement confié des valeurs patrimoniales à B______ SA dans un but particulier, qui n'aurait pas été respecté. Il en découle que, à défaut de pouvoir être considéré comme étant le lésé direct de l'infraction dénoncée, le recourant n'a pas d'intérêt juridiquement protégé à l'annulation ou à la modification de l'ordonnance querellée et, partant, la qualité pour recourir (dans le même sens : ACPR/423/2012 du 4 octobre 2012). L’arrêt de la Cour d’appel pénale du Tribunal cantonal vaudois du 18 juillet 2023 cité par le recourant est impropre à infirmer ce constat, se rapportant au demeurant à une problématique de droit des assurances sociales (LAA), distincte de celle ici concernée (LCA). En conséquence, le recours doit être déclaré irrecevable. Au vu des éléments du dossier, le litige s’avère, au surplus, exclusivement de nature civile.</w:t>
      </w:r>
    </w:p>
    <w:p>
      <w:r>
        <w:rPr>
          <w:b/>
        </w:rPr>
        <w:t>E. 4</w:t>
      </w:r>
    </w:p>
    <w:p>
      <w:r>
        <w:t>Justifiée, l'ordonnance querellée sera donc confirmée.</w:t>
      </w:r>
    </w:p>
    <w:p>
      <w:r>
        <w:rPr>
          <w:b/>
        </w:rPr>
        <w:t>E. 5</w:t>
      </w:r>
    </w:p>
    <w:p>
      <w:r>
        <w:t>Le recourant, qui succombe, supportera les frais envers l'État, arrêtés à CHF 1’200.- (art. 428 al. 1 CPP et 13 al. 1 du Règlement fixant le tarif des frais en matière pénale, RTFMP ; E 4 10.03).</w:t>
      </w:r>
    </w:p>
    <w:p>
      <w:r>
        <w:rPr>
          <w:b/>
        </w:rPr>
        <w:t>E. 6</w:t>
      </w:r>
    </w:p>
    <w:p>
      <w:r>
        <w:t>Corrélativement, il n'y a pas lieu de lui octroyer une indemnité pour ses frais d'avocat (art. 433 al. 1 CPP a contrario). * * * * *</w:t>
      </w:r>
    </w:p>
    <w:p>
      <w:r>
        <w:t>- 9/10 - P/13793/2025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