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ACPR/880/2024 vom 19. Juli 2024</w:t>
      </w:r>
    </w:p>
    <w:p>
      <w:r>
        <w:t>GE Cour de justice, 2024-07-19, FR</w:t>
      </w:r>
    </w:p>
    <w:p>
      <w:r>
        <w:rPr>
          <w:b/>
        </w:rPr>
        <w:t xml:space="preserve">Quelle: </w:t>
      </w:r>
      <w:r>
        <w:t>https://mcp.opencaselaw.ch/entscheid/ge_gerichte_ACPR_880_2024</w:t>
      </w:r>
    </w:p>
    <w:p>
      <w:r>
        <w:t>FR: GE_GERICHTE ACPR/880/2024 du 19 juillet 2024</w:t>
      </w:r>
    </w:p>
    <w:p>
      <w:r>
        <w:t>IT: GE_GERICHTE ACPR/880/2024 del 19 luglio 2024</w:t>
      </w:r>
    </w:p>
    <w:p>
      <w:pPr>
        <w:pStyle w:val="Heading2"/>
      </w:pPr>
      <w:r>
        <w:t>Erwägungen</w:t>
      </w:r>
    </w:p>
    <w:p>
      <w:r>
        <w:rPr>
          <w:b/>
        </w:rPr>
        <w:t>E. 1.1</w:t>
      </w:r>
    </w:p>
    <w:p>
      <w:r>
        <w:t>Le recours a été interjeté selon la forme et dans le délai prescrits (art. 385 al. 1 et 396 al. 1 CPP), concerne une ordonnance sujette à recours auprès de la Chambre de céans (art. 393 al. 1 let. a CPP) et émaner du prévenu, partie à la procédure (art. 104 al. 1 let. a CPP).</w:t>
      </w:r>
    </w:p>
    <w:p>
      <w:r>
        <w:rPr>
          <w:b/>
        </w:rPr>
        <w:t>E. 1.2</w:t>
      </w:r>
    </w:p>
    <w:p>
      <w:r>
        <w:t>Pour les motifs qui lui ont déjà été exposés – ainsi qu'à son conseil – dans l'ACPR/301/2023 (consid. 2.2.3), sa conclusion visant à l'annulation de l'ordonnance querellée dans son entier est, en tant que telle, irrecevable. Un intérêt juridiquement protégé peut uniquement lui être reconnu au sujet de la mise à sa charge des frais de la procédure devant l'instance précédente (ch. 3 du dispositif), seul point contesté de l'ordonnance litigieuse. Dans cette mesure, le recours est recevable.</w:t>
      </w:r>
    </w:p>
    <w:p>
      <w:r>
        <w:rPr>
          <w:b/>
        </w:rPr>
        <w:t>E. 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2.2</w:t>
      </w:r>
    </w:p>
    <w:p>
      <w:r>
        <w:t>La condamnation d'un prévenu acquitté à supporter tout ou partie des frais doit respecter la présomption d'innocence, consacrée par les art. 31 al. 1 Cst. et 6 par. 2 CEDH,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et les références citées; arrêts du Tribunal fédéral 6B_672/2023 du 4 octobre 2023 consid. 3.1.1; 6B_1040/2022 du 23 août 2023 consid. 5.1.2).</w:t>
      </w:r>
    </w:p>
    <w:p>
      <w:r>
        <w:rPr>
          <w:b/>
        </w:rPr>
        <w:t>E. 2.3</w:t>
      </w:r>
    </w:p>
    <w:p>
      <w:r>
        <w:t>La prescription, comme motif de libération, n'est pas incompatible avec la condamnation aux frais du prévenu, mais celle-ci ne doit pas se fonder sur le reproche pénal, sous peine sinon de violer la présomption d'innocence (arrêt du Tribunal fédéral 6B_650/2019 du 20 août 2019 consid. 3.4; ACPR/805/2022 du 15 novembre 2022 consid. 3.2).</w:t>
      </w:r>
    </w:p>
    <w:p>
      <w:r>
        <w:rPr>
          <w:b/>
        </w:rPr>
        <w:t>E. 2.4</w:t>
      </w:r>
    </w:p>
    <w:p>
      <w:r>
        <w:t>Chacun est tenu de se conformer aux signaux et aux marques ainsi qu’aux ordres de la police. Les signaux et les marques priment les règles générales; les ordres de la police ont le pas sur les règles générales, les signaux et les marques (art. 27 al. 1 LCR).</w:t>
      </w:r>
    </w:p>
    <w:p>
      <w:r>
        <w:t>- 5/8 - P/6502/2020</w:t>
      </w:r>
    </w:p>
    <w:p>
      <w:r>
        <w:rPr>
          <w:b/>
        </w:rPr>
        <w:t>E. 2.5</w:t>
      </w:r>
    </w:p>
    <w:p>
      <w:r>
        <w:t>En l'espèce, le recourant a admis qu'en suivant, au volant de sa voiture de service banalisée, le motard pour l'admonester, il n'avait pas respecté plusieurs signaux et marques régulant la circulation routière. Il n'a pas contesté, au demeurant, l'absence d'urgence liée à sa fonction. S'il est libéré de ces faits sur le plan pénal, il le doit, en partie, à un changement de législation en sa faveur et, au surplus, à la prescription. Or, ces motifs de classement, en particulier la prescription, soulèvent la question de la faute permettant, cas échéant, d'imputer les frais de la procédure au prévenu acquitté. Le Ministère public s'appuie, in casu, sur l'art. 27 al. 1 LCR, soit la même norme de comportement qui, en lien avec l'art. 90 LCR, fondait le reproche pénal qui pesait sur le recourant. Cela ne constitue toutefois pas pour autant une violation de la présomption d'innocence. En matière de circulation routière, le système de répression cumule la procédure pénale et administrative, sans heurter le principe ne bis in idem (ATF 137 I 363 consid. 2.3; arrêt du Tribunal fédéral 1C_140/2019 du 29 mars 2019 consid. 3). Ainsi, les mêmes faits peuvent entrainer des sanctions tant pénales (via l'art. 91 LCR) qu'administratives (via les art. 16 ss LCR), sur la base de la même règle de la circulation (art. 26 ss LCR). Ainsi, le classement d'une procédure pénale pour une violation de l'une des dispositions de la LCR n'empêche pas, si le comportement contraire à celles-ci est avéré, de condamner le prévenu aux frais de la procédure (cf. arrêts du Tribunal fédéral 7B_18/2023 du 24 août 2023 consid. 3.5 et 3.6, 6B_256/2016 du 20 juin 2016 consid. 3.2; AARP/44/2022 du 21 février 2022 consid. 5.5.1 non remis en cause dans l'arrêt du Tribunal fédéral 6B_619/2022 du 8 février 2023). Partant, en contrevenant, hors de toute nécessité, à l'art. 27 al. 1 LCR, le recourant a fautivement et illicitement provoqué l'ouverture de la procédure pénale à son encontre. Il s'ensuit que c'est à bon droit que le Ministère public a, compte tenu des circonstances, mis à la charge du recourant les frais de la procédure.</w:t>
      </w:r>
    </w:p>
    <w:p>
      <w:r>
        <w:rPr>
          <w:b/>
        </w:rPr>
        <w:t>E. 3</w:t>
      </w:r>
    </w:p>
    <w:p>
      <w:r>
        <w:t>Justifiée, l'ordonnance querellée sera donc confirmée. Le recours, qui s'avère infondé, pouvait être d'emblée traiter sans échange d'écritures ni débats (art. 390 al. 2 et 5 a contrario CPP).</w:t>
      </w:r>
    </w:p>
    <w:p>
      <w:r>
        <w:t>- 6/8 - P/6502/2020</w:t>
      </w:r>
    </w:p>
    <w:p>
      <w:r>
        <w:rPr>
          <w:b/>
        </w:rPr>
        <w:t>E. 4</w:t>
      </w:r>
    </w:p>
    <w:p>
      <w:r>
        <w:t>Le recourant, qui succombe, supportera les frais envers l'État, fixés en totalité à CHF 800.- (art. 428 al. 1 CPP et 13 al. 1 du règlement fixant le tarif des frais en matière pénale). * * * * *</w:t>
      </w:r>
    </w:p>
    <w:p>
      <w:r>
        <w:t>- 7/8 - P/6502/2020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