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ACPR/87/2025 vom 6. Januar 2025</w:t>
      </w:r>
    </w:p>
    <w:p>
      <w:r>
        <w:t>GE Cour de justice, 2025-01-06, FR</w:t>
      </w:r>
    </w:p>
    <w:p>
      <w:r>
        <w:rPr>
          <w:b/>
        </w:rPr>
        <w:t xml:space="preserve">Quelle: </w:t>
      </w:r>
      <w:r>
        <w:t>https://mcp.opencaselaw.ch/entscheid/ge_gerichte_ACPR_87_2025</w:t>
      </w:r>
    </w:p>
    <w:p>
      <w:r>
        <w:t>FR: GE_GERICHTE ACPR/87/2025 du 6 janvier 2025</w:t>
      </w:r>
    </w:p>
    <w:p>
      <w:r>
        <w:t>IT: GE_GERICHTE ACPR/87/2025 del 6 gennaio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l'existence de charges suffisantes et graves, au sens de l'art. 221 al. 1 CPP, de sorte qu'il peut être renvoyé, en tant que de besoin, à la motivation adoptée par le premier juge (art 82 al. 4 CPP; ACPR/747/2020 du 22 octobre 2020 consid. 2 et les références), qui expose les indices graves et concordants pesant sur le prévenu.</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w:t>
      </w:r>
    </w:p>
    <w:p>
      <w:r>
        <w:t>- 10/13 - P/25472/2024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1B_78/2023 du 20 février 2023 consid. 3.1).</w:t>
      </w:r>
    </w:p>
    <w:p>
      <w:r>
        <w:rPr>
          <w:b/>
        </w:rPr>
        <w:t>E. 3.2</w:t>
      </w:r>
    </w:p>
    <w:p>
      <w:r>
        <w:t>Concrétisant le principe de la proportionnalité, l'art. 237 al. 1 CPP prévoit que le tribunal compétent ordonne une ou plusieurs mesures moins sévères en lieu et place de la détention si ces mesures permettent d'atteindre le même but que la détention. La liste de son al. 2 est exemplative et le juge de la détention peut également, le cas échéant, assortir les mesures de substitution de toute condition propre à en garantir l'efficacité (ATF 145 IV 503 consid. 3.1).</w:t>
      </w:r>
    </w:p>
    <w:p>
      <w:r>
        <w:rPr>
          <w:b/>
        </w:rPr>
        <w:t>E. 3.3</w:t>
      </w:r>
    </w:p>
    <w:p>
      <w:r>
        <w:t>En l'espèce, le recourant, libéré le 6 janvier 2025, conteste tout risque de collusion. À cet égard, même si tous les plaignants, ainsi que divers témoins, ont été entendus par le Ministère public, les zones d'ombre quant aux motivations du recourant – déjà soulignées dans l'arrêt de la Chambre de céans du 29 novembre 2024 – persistent. L'intéressé continue de contester les faits et refuse de renseigner sur son parcours et ses lieux de vie. En outre, l'enquête doit se poursuivre, le Ministère public ayant d'ores et déjà annoncé son intention d'entendre de nouveaux témoins ayant connu le recourant, dont un qui pourrait avoir été menacé avec une arme, et le résultat de l'analyse du contenu des divers objets électroniques saisis chez lui reste en suspens. Enfin, il reste à craindre, compte tenu de la nature des comportements reprochés, en particulier vis-à-vis de J______, que le recourant ne tente de prendre contact avec les plaignants, voire d'autres personnes auxquelles il aurait causé du tort et susceptibles d'être entendues dans la procédure, et n'entrave ainsi la manifestation de la vérité. Le risque de collusion, indiscutable, peut donc être confirmé. Partant, nul besoin d'examiner le risque de réitération (arrêts du Tribunal fédéral 7B_188/2024 du 12 mars 2024 consid. 6.3.1 et 1B_197/2023 du 4 mai 2023 consid. 4.5).</w:t>
      </w:r>
    </w:p>
    <w:p>
      <w:r>
        <w:rPr>
          <w:b/>
        </w:rPr>
        <w:t>E. 4</w:t>
      </w:r>
    </w:p>
    <w:p>
      <w:r>
        <w:t>Sous l'angle de la proportionnalité (art. 197 et 213 CPP), il y a lieu de rappeler que les mesures de substitution ordonnées par le TMC correspondent à celles que le recourant a suggérées. Allant dans son sens, l'autorité précédente a même repris sa liste – plutôt que celle du Ministère public – des lieux où l'accès lui est interdit, évitant ainsi des interdictions portant sur des communes entières. Quant à la durée de ces mesures, elle a été fixée à quatre mois, soit un mois supplémentaire par rapport à sa demande du 30 décembre 2024. Ce délai d'un mois ne saurait rendre les mesures de substitution disproportionnées. Les éventuels frais, en particulier d'hôtel, pris en charge par son père, engendrés par ce délai ne sont en effet pas prépondérants face à la nécessité</w:t>
      </w:r>
    </w:p>
    <w:p>
      <w:r>
        <w:t>- 11/13 - P/25472/2024 d'assurer la recherche de la vérité sur des faits graves, par le truchement de mesures de substitution acceptées par le recourant.</w:t>
      </w:r>
    </w:p>
    <w:p>
      <w:r>
        <w:rPr>
          <w:b/>
        </w:rPr>
        <w:t>E. 5</w:t>
      </w:r>
    </w:p>
    <w:p>
      <w:r>
        <w:t>Justifiée, l'ordonnance querellée sera donc confirmée.</w:t>
      </w:r>
    </w:p>
    <w:p>
      <w:r>
        <w:rPr>
          <w:b/>
        </w:rPr>
        <w:t>E. 6</w:t>
      </w:r>
    </w:p>
    <w:p>
      <w:r>
        <w:t>Le recourant, bien qu'au bénéfice de l'assistance juridique, supportera les frais de la procédure de recours (art. 428 al. 1 CPP; arrêts du Tribunal fédéral 1B_203/2011 du 18 mai 2011 consid. 4 et 1B_372/2014 du 8 avril 2015 consid. 4.6), qui seront fixés en totalité à CHF 900.- (art. 13 al. 1 du Règlement fixant le tarif des frais en matière pénale, RTFMP; E 4 10.03).</w:t>
      </w:r>
    </w:p>
    <w:p>
      <w:r>
        <w:rPr>
          <w:b/>
        </w:rPr>
        <w:t>E. 7.1</w:t>
      </w:r>
    </w:p>
    <w:p>
      <w:r>
        <w:t>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7.2</w:t>
      </w:r>
    </w:p>
    <w:p>
      <w:r>
        <w:t>En l'occurrence, quand bien même le recourant succombe, on peut admettre que l'intervention de son conseil à la suite d'actes qu'il a personnellement expédiés, ne procède pas d'un abus. L'indemnité du défenseur d'office sera néanmoins fixée à la fin de la procédure (art. 135 al. 2 CPP). * * * * *</w:t>
      </w:r>
    </w:p>
    <w:p>
      <w:r>
        <w:t>- 12/13 - P/25472/2024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