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ACPR/87/2021 vom 10. Dezember 2020</w:t>
      </w:r>
    </w:p>
    <w:p>
      <w:r>
        <w:t>GE Cour de justice, 2020-12-10, FR</w:t>
      </w:r>
    </w:p>
    <w:p>
      <w:r>
        <w:rPr>
          <w:b/>
        </w:rPr>
        <w:t xml:space="preserve">Quelle: </w:t>
      </w:r>
      <w:r>
        <w:t>https://mcp.opencaselaw.ch/entscheid/ge_gerichte_ACPR_87_2021</w:t>
      </w:r>
    </w:p>
    <w:p>
      <w:r>
        <w:t>FR: GE_GERICHTE ACPR/87/2021 du 10 décembre 2020</w:t>
      </w:r>
    </w:p>
    <w:p>
      <w:r>
        <w:t>IT: GE_GERICHTE ACPR/87/2021 del 10 dicembre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À défaut de décision préalable, la Chambre de céans n'est pas compétente pour se prononcer sur la demande de jonction de la présente procédure avec la P/1______/2020. Le recours est donc irrecevable sur ce point.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l'ordonnance pénale n'ayant pas été notifiée à son conseil, son opposition ne pouvait pas être considérée comme tardive.</w:t>
      </w:r>
    </w:p>
    <w:p>
      <w:r>
        <w:rPr>
          <w:b/>
        </w:rPr>
        <w:t>E. 3.1</w:t>
      </w:r>
    </w:p>
    <w:p>
      <w:r>
        <w:t>Selon l'art. 356 al. 2 CPP, le tribunal de première instance statue sur la validité de l'opposition formée à une ordonnance pénale.</w:t>
      </w:r>
    </w:p>
    <w:p>
      <w:r>
        <w:rPr>
          <w:b/>
        </w:rPr>
        <w:t>E. 3.2</w:t>
      </w:r>
    </w:p>
    <w:p>
      <w:r>
        <w:t>À teneur de l'art. 354 CPP, le prévenu peut former opposition contre l'ordonnance pénale devant le Ministère public, par écrit et dans les 10 jours</w:t>
      </w:r>
    </w:p>
    <w:p>
      <w:r>
        <w:t>- 7/11 - P/15785/2020 (al. 1 let. a). Si aucune opposition n'est valablement formée, l'ordonnance pénale est assimilée à un jugement entré en force (al. 3).</w:t>
      </w:r>
    </w:p>
    <w:p>
      <w:r>
        <w:rPr>
          <w:b/>
        </w:rPr>
        <w:t>E. 3.3</w:t>
      </w:r>
    </w:p>
    <w:p>
      <w:r>
        <w:t>L'art.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(ATF 144 IV 64 consid. 2.1 p. 65).</w:t>
      </w:r>
    </w:p>
    <w:p>
      <w:r>
        <w:rPr>
          <w:b/>
        </w:rPr>
        <w:t>E. 3.4</w:t>
      </w:r>
    </w:p>
    <w:p>
      <w:r>
        <w:t>Aux termes de l'art. 87 CPP, toute communication doit être notifiée au domicile, au lieu de résidence habituelle ou au siège du destinataire (al. 1). Si les parties sont pourvues d'un conseil juridique, les communications sont valablement notifiées à celui-ci (al. 3). Le législateur n'a pas repris, à tout le moins expressément, certaines pratiques en vigueur sous l'empire d'anciens droits cantonaux de procédure, permettant de distinguer constitution d'un conseil, d'une part, élection de domicile auprès de ce dernier, d'autre part. Le Tribunal fédéral a ainsi jugé que de permettre à la partie de distinguer constitution d'un conseil et élection ou non de domicile auprès de ce dernier ne serait que source de confusion. Lorsqu'un conseil juridique a été institué, les communications doivent lui être notifiées, sous peine d'invalidité (ATF 144 IV 64 consid. 2.5). En application de ce principe, le Tribunal fédéral a considéré que le prévenu ayant demandé, lors de son audition devant la police, à être assisté de son avocat, il avait été, dès ce moment-là, "pourvu d'un conseil " au sens de l'art. 87 al. 3 CPP et la notification de l'ordonnance pénale aurait dû avoir lieu à l'adresse de celui-ci (arrêt du Tribunal fédéral 6B_1415/2017 du 16 mai 2018 consid. 1.4.-1.5.).</w:t>
      </w:r>
    </w:p>
    <w:p>
      <w:r>
        <w:rPr>
          <w:b/>
        </w:rPr>
        <w:t>E. 3.5</w:t>
      </w:r>
    </w:p>
    <w:p>
      <w:r>
        <w:t>À teneur de l'art. 129 CPP, dans toutes les procédures pénales et à n’importe quel stade de celles-ci, le prévenu a le droit de charger de sa défense un conseil juridique au sens de l’art. 127 al. 5 CPP (défense privée) ou, sous réserve de l’art. 130 CPP, de se défendre soi-même (al. 1). L’exercice de la défense privée exige une procuration écrite ou une déclaration du prévenu consignée au procès-verbal (al. 2).</w:t>
      </w:r>
    </w:p>
    <w:p>
      <w:r>
        <w:rPr>
          <w:b/>
        </w:rPr>
        <w:t>E. 3.6</w:t>
      </w:r>
    </w:p>
    <w:p>
      <w:r>
        <w:t>Le séjour illégal est un délit continu (ATF 135 IV 6 consid. 3.2 p. 9; arrêt du Tribunal fédéral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En vertu du principe de la culpabilité sur lequel repose le droit pénal, les peines prononcées dans plusieurs</w:t>
      </w:r>
    </w:p>
    <w:p>
      <w:r>
        <w:t>- 8/11 - P/15785/2020 procédures pénales en raison de l'effet de césure ne peuvent dépasser la peine maximale prévue par la loi pour l'infraction en question (ATF 135 IV 6 consid. 4.2).</w:t>
      </w:r>
    </w:p>
    <w:p>
      <w:r>
        <w:rPr>
          <w:b/>
        </w:rPr>
        <w:t>E. 3.7</w:t>
      </w:r>
    </w:p>
    <w:p>
      <w:r>
        <w:t>En l'espèce, le recourant soutient que la constitution de son avocat lors des procédures ouvertes précédemment à son encontre, valait pour toute procédure future et, par conséquent, pour la présente cause. Un telle constitution valable pro futuro ne ressort cependant ni de la procuration produite, ni d'une autre pièce au dossier. En particulier, dans le courrier d'opposition à l'ordonnance pénale du 19 décembre 2020, Me B______ précise, au contraire, se constituer pour la procédure en cours, à savoir la P/1______/2020. Quoi qu'il en soit, cette question peut rester ouverte puisque, même à supposer que lors de l'ouverture des procédures précédentes, le recourant eût fait part de sa volonté d'être représenté par cet avocat lors d'éventuelles procédures futures, il était loisible au recourant de changer d'avis à tout moment, afin notamment de se défendre seul, car sa désignation d'un défenseur ne valait que pour le cas d'une défense de choix. Or, lors de son audition du 31 août 2020, le recourant a renoncé à être assisté d'un conseil. Il avait alors valablement été informé de ses droits par la police et le formulaire idoine lui avait été remis. Il a certes refusé de le signer, mais a expliqué son refus en des termes peu châtiés, par un désintérêt et non une incompréhension de son contenu ou de la situation. En outre, ayant plusieurs procédures en cours, dans lesquelles il était représenté par un avocat, il connaissait son droit à être assisté de son conseil de choix et il lui était loisible de demander à ce que ce dernier soit appelé. Il doit ainsi être retenu que le recourant a renoncé en toute connaissance de cause à être pourvu d'un conseil et, par là-même, à la notification de l'ordonnance pénale chez ce dernier. Il n'y a donc pas eu création d'un domicile de notification. Le recourant soutient également que, le séjour illégal étant un délit continu, la présente procédure traitait, en réalité, de faits identiques aux procédures ouvertes précédemment, dans lesquelles son conseil était constitué, et, en particulier la P/1______/2020. Force est toutefois de constater que chacune des procédures couvrait une période déterminée durant laquelle le recourant est soupçonné d'avoir séjourné illégalement en Suisse, soit notamment du 13 au 18 août 2020 pour la procédure P/1______/2020 et du 20 au 31 août 2020 pour la présente procédure. Les faits faisant l'objet de l'ordonnance pénale du 1er septembre 2020 n'étaient ainsi pas instruits dans une autre cause. L'ouverture de plusieurs procédures a, par ailleurs, profité au recourant puisqu'en date du 24 septembre 2020, le Ministère public a rendu une ordonnance de classement dans la P/1______/2020, la durée du séjour illégal traité dans celle-ci étant inférieure à vingt jours. Le recourant n'a pas contesté ce classement et, par la-même, n'a pas remis en cause l'existence de plusieurs procédures, traitant de séjours illégaux distincts. Au surplus, bien que le recourant ait requis la jonction des causes, celle-ci n'est pas intervenue. Il existe dès lors, en l'état</w:t>
      </w:r>
    </w:p>
    <w:p>
      <w:r>
        <w:t>- 9/11 - P/15785/2020 du dossier, plusieurs procédures, et la constitution de Me B______ dans les précédentes n'impliquait pas sa constitution dans la présente procédure. L'ordonnance pénale du 1er septembre 2020 a ainsi été valablement notifiée au recourant en personne. Il a d'ailleurs signé l'accusé de réception. Il lui appartenait donc, s'il souhaitait y faire opposition par son avocat, de communiquer l'ordonnance pénale à ce dernier avant l'échéance du délai de dix jours. Bien qu'il allègue n'avoir pu le faire avant le 25 septembre 2020, force est de constater qu'il n'étaye pas cette affirmation, si ce n'est par le fait d'être démuni de tout moyen de communication. Or, dès lors qu'il lui a été possible, malgré cette carence, d'informer son conseil le 25 septembre 2020, on ne voit pas ce qui l'en aurait empêché plus tôt. Cela d'autant plus qu'ayant plusieurs procédures d'opposition en cours, dont une pour laquelle la question de sa tardiveté était litigieuse (P/2______/2020), il ne pouvait ignorer le délai à respecter pour ce faire et les conséquences de son non-respect. Au surplus, il sied d'ajouter que, si le recourant avait estimé que la langue de la procédure pouvait représenter un empêchement, il aurait pu se manifester auprès du Procureur lors de la remise en mains propres de l'ordonnance ou solliciter rapidement l'aide d'un tiers, notamment de son avocat, pour la lire, ce qu'il n'a pas fait. Il n'apparaît, quoi qu'il en soit, pas que la compréhension du français ait posé problème, le recourant ayant été en mesure de répondre, avec précision, aux questions de la police. Il s'ensuit que c'est à bon droit que le Tribunal de police a constaté que l'opposition du 25 septembre 2020 était tardive et n'est pas entré en matière sur le fond. Le recours s'avère ainsi infondé et doit être rejeté.</w:t>
      </w:r>
    </w:p>
    <w:p>
      <w:r>
        <w:rPr>
          <w:b/>
        </w:rPr>
        <w:t>E. 4</w:t>
      </w:r>
    </w:p>
    <w:p>
      <w:r>
        <w:t>Justifiée, l'ordonnance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r>
        <w:t>- 10/11 - P/15785/2020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