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ACPR/879/2024 vom 29. Oktober 2024</w:t>
      </w:r>
    </w:p>
    <w:p>
      <w:r>
        <w:t>GE Cour de justice, 2024-10-29, FR</w:t>
      </w:r>
    </w:p>
    <w:p>
      <w:r>
        <w:rPr>
          <w:b/>
        </w:rPr>
        <w:t xml:space="preserve">Quelle: </w:t>
      </w:r>
      <w:r>
        <w:t>https://mcp.opencaselaw.ch/entscheid/ge_gerichte_ACPR_879_2024</w:t>
      </w:r>
    </w:p>
    <w:p>
      <w:r>
        <w:t>FR: GE_GERICHTE ACPR/879/2024 du 29 octobre 2024</w:t>
      </w:r>
    </w:p>
    <w:p>
      <w:r>
        <w:t>IT: GE_GERICHTE ACPR/879/2024 del 29 ottobre 2024</w:t>
      </w:r>
    </w:p>
    <w:p>
      <w:pPr>
        <w:pStyle w:val="Heading2"/>
      </w:pPr>
      <w:r>
        <w:t>Erwägungen</w:t>
      </w:r>
    </w:p>
    <w:p>
      <w:r>
        <w:rPr>
          <w:b/>
        </w:rPr>
        <w:t>E. 1.1</w:t>
      </w:r>
    </w:p>
    <w:p>
      <w:r>
        <w:t>La Chambre de céans est l'autorité compétente pour connaître des recours (art. 42 al. 1 let. a LaCP [E 4 10]) dirigés contre les décisions d'octroi/de refus de passage en milieu ouvert rendues par le SAPEM (art. 439 al. 1 CPP; art. 5 al. 5 let. b LaCP cum 11 al. 2 let. b REPM [E 4 55.05]).</w:t>
      </w:r>
    </w:p>
    <w:p>
      <w:r>
        <w:rPr>
          <w:b/>
        </w:rPr>
        <w:t>E. 1.2</w:t>
      </w:r>
    </w:p>
    <w:p>
      <w:r>
        <w:t>Le recours, soumis au CPP applicable à titre de droit cantonal supplétif (art. 42 al. 3 LaCP), a été déposé selon la forme et dans le délai prescrits (art. 385 al. 1, 390 al. 1 et 396 al. 1 CPP), concerne une décision rendue par le SAPEM dans une matière où ce service est compétent et contre laquelle le recours auprès de la Chambre de céans est ouvert. 1.3.1. Se pose néanmoins la question de la qualité pour agir du recourant contre la décision entreprise. En tant que condamné exécutant une peine, il est certes partie à la procédure (art. 104 al. 1 let. a et 111 CPP), mais cela ne suffit pas à lui conférer la qualité pour recourir: encore faut-il qu'il ait un intérêt juridiquement protégé à l'annulation ou à la modification de la décision querellée (art. 382 al. 1 CPP). 1.3.2. Selon l'art. 382 al. 1 CPP, a qualité pour recourir toute partie qui a un intérêt juridiquement protégé à l'annulation ou à la modification d'une décision. Cet intérêt doit être actuel et pratique ; il doit exister tant au moment du dépôt du recours qu'à celui où l'arrêt est rendu (ATF 137 I 296 consid. 4.2 ; arrêt du Tribunal fédéral 6B_766/2016 du</w:t>
      </w:r>
    </w:p>
    <w:p>
      <w:r>
        <w:rPr>
          <w:b/>
        </w:rPr>
        <w:t>E. 4</w:t>
      </w:r>
    </w:p>
    <w:p>
      <w:r>
        <w:t>avril 2017 consid. 1.2; M. NIGGLI/ M. HEER/ H. WIPRÄCHTIGER (éds), Basler Kommentar StPO/JStPO, 3ème éd., Bâle 2023, n. 7 ad art. 382). Le recourant, quel qu'il soit, doit être directement atteint dans ses droits et doit établir que la décision attaquée viole une règle de droit qui a pour but de protéger ses intérêts et qu'il peut, par conséquent, en déduire un droit subjectif. Il doit en outre avoir un intérêt à l'élimination de cette atteinte, c'est-à-dire à l'annulation ou à la modification de la décision dont provient l'atteinte (A. KUHN/ Y. JEANNERET/ C. PERRIER DEPEURSINGE (éds), Commentaire romand : Code de procédure pénale suisse, 2ème éd., Bâle 2019, n. 2 ad art. 382, ATF 131 IV 191 consid. 1.2.1 p. 193 ; arrêt du Tribunal fédéral 6B_344/2019 du 6 mai 2019 destiné à la publication consid. 3.1 ; 6B_1239/2017 du 24 mai 2018 consid. 2.1).</w:t>
      </w:r>
    </w:p>
    <w:p>
      <w:r>
        <w:t>- 5/8 - PS/87/2024 Le recourant peut se prévaloir d'un intérêt juridiquement protégé lorsqu'il est touché directement et immédiatement dans ses droits propres, ce qui n'est pas le cas lorsqu'il ne l'est que par un simple effet réflexe (ATF 145 IV 161 consid. 3.1 p. 163 et la référence citée). L'intérêt juridiquement protégé se distingue de l'intérêt digne de protection, qui n'est pas nécessairement un intérêt juridique, mais peut être un intérêt de fait. L'existence d'un intérêt de pur fait ou la simple perspective d'un intérêt juridique futur ne suffit pas à conférer la qualité pour recourir (ATF 136 I 274 consid. 1.3 p. 276 ; 133 IV 121 consid. 1.2 p. 124 ; arrêt du Tribunal fédéral 6B_601/2017 du 26 février 2018 consid. 2). D'une manière générale, les personnes poursuivies ne peuvent recourir contre une décision rendue en leur faveur (ATF 101 IV 327 ; ATF 103 II 155 consid. 3 : JT 278 I 518 ; DCPR/125/2011 du 31 mai 2011). Une partie qui n'est pas concrètement lésée par la décision ne possède donc pas la qualité pour recourir et son recours est irrecevable (ATF 144 IV 81 consid. 2.3.1 p. 85 = SJ 2018 I 421 ; arrêt du Tribunal fédéral 6B_818/2018 du 4 octobre 2018 consid. 2.1). 1.3.3. Les peines privatives de liberté sont exécutées dans un établissement fermé ou ouvert (art. 76 al. 1 CP). Le détenu est placé dans un établissement fermé, ou dans la section fermée d'un établissement ouvert, s'il y a lieu de craindre qu'il ne s'enfuie ou ne commette de nouvelles infractions (art. 76 al. 2 CP). Les institutions fermées – lesquelles sont réservées aux délinquants violents ou dangereux pour la collectivité publique/carcérale – disposent, par opposition à celles ouvertes, d’un niveau de sécurité élevé, que ce soit dans l'infrastructure du bâtiment accueillant le condamné, dans l'organisation et la formation du personnel pénitentiaire ou dans l'intensité des restrictions qui sont faites à la liberté de mouvement du détenu. Les sections ouvertes offrent aux condamnés un régime d'exécution plus souple, qui permet à ces derniers de travailler ou de pratiquer une activité durant la journée et de ne passer que leur temps libre et de repos en détention (R. ROTH/ L. MOREILLON (éds), Commentaire romand, Code pénal I, art. 1-110 CP, 2ème éd., Bâle 2021, n. 4 et 5 ad art. 76 CP). Les allégements dans l’exécution sont des adoucissements du régime de privation de liberté, notamment le transfert en établissement ouvert, l’octroi de congés, l’autorisation de travailler ou de loger à l’extérieur ainsi que la libération conditionnelle (art. 75a al. 2 CPP). 1.3.4. En l'espèce, le SAPEM a décidé de transférer le recourant en régime ouvert à B______ dès le 5 novembre 2024. Ce faisant, cette autorité a élargi le régime d'exécution de peine auquel ce dernier était soumis.</w:t>
      </w:r>
    </w:p>
    <w:p>
      <w:r>
        <w:t>- 6/8 - PS/87/2024 Une telle décision étant assurément favorable au recourant au vu des principes énoncés supra, on ne discerne pas de quel intérêt juridique celui-ci disposerait à la contester. Certes, ce dernier fait valoir, tant dans son recours que dans son courrier subséquent – dont la recevabilité peut rester indécise au vu des considérations qui suivent –, que B______ n'était "pas adapté à un détenu en fin de sevrage" et qu'un transfert dans cet établissement, bien que le rapprochant de sa compagne, aurait pour conséquence de l'éloigner de sa mère, ce qui justifiait selon lui une prolongation de son incarcération à la prison de C______ pour un mois supplémentaire. La question de savoir si le transfert du recourant à B______ aurait réellement pour conséquence de l'éloigner de sa mère, laquelle résiderait à Neuchâtel, peut toutefois souffrir de demeurer indécise, dans la mesure où les motifs qu'il invoque relèvent de la pure convenance personnelle, soit d'un intérêt de fait qui n'ouvre pas la voie au recours devant la Chambre de céans. À cela s'ajoute que le recourant ne dispose d'aucun intérêt actuel à la modification de la décision entreprise, son passage en milieu ouvert étant survenu le 5 novembre 2024 déjà.</w:t>
      </w:r>
    </w:p>
    <w:p>
      <w:r>
        <w:t>Faute d'un intérêt juridiquement protégé à l'annulation de l'ordonnance querellée, le recours doit être déclaré irrecevable, ce que la Chambre de céans pouvait constater d'office, sans échange d'écritures ni débats (art. 390 al. 2 et 5 a contrario CPP) 2. Le recourant, dont le recours est irrecevable, est considéré avoir succombé. Il supportera ainsi les frais envers l'État, fixés en totalité à CHF 600.- (art. 428 al. 1 CPP et 13 al. 1 du Règlement fixant le tarif des frais en matière pénale, RTFMP; E 4 10.03). * * * * *</w:t>
      </w:r>
    </w:p>
    <w:p>
      <w:r>
        <w:t>- 7/8 - PS/87/2024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