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ACPR/879/2020 vom 7. Mai 2020</w:t>
      </w:r>
    </w:p>
    <w:p>
      <w:r>
        <w:t>GE Cour de justice, 2020-05-07, FR</w:t>
      </w:r>
    </w:p>
    <w:p>
      <w:r>
        <w:rPr>
          <w:b/>
        </w:rPr>
        <w:t xml:space="preserve">Quelle: </w:t>
      </w:r>
      <w:r>
        <w:t>https://mcp.opencaselaw.ch/entscheid/ge_gerichte_ACPR_879_2020</w:t>
      </w:r>
    </w:p>
    <w:p>
      <w:r>
        <w:t>FR: GE_GERICHTE ACPR/879/2020 du 7 mai 2020</w:t>
      </w:r>
    </w:p>
    <w:p>
      <w:r>
        <w:t>IT: GE_GERICHTE ACPR/879/2020 del 7 maggio 2020</w:t>
      </w:r>
    </w:p>
    <w:p>
      <w:pPr>
        <w:pStyle w:val="Heading2"/>
      </w:pPr>
      <w:r>
        <w:t>Erwägungen</w:t>
      </w:r>
    </w:p>
    <w:p>
      <w:r>
        <w:rPr>
          <w:b/>
        </w:rPr>
        <w:t>E. 1.1</w:t>
      </w:r>
    </w:p>
    <w:p>
      <w:r>
        <w:t>Le recours est recevable pour avoir été déposé selon la forme et dans le délai prescrits (art. 385 al. 1 et 396 al. 1 CPP), concerner une ordonnance de non-entrée en matière sujette à recours auprès de la Chambre de céans (art. 393 al. 1 let. a CPP) et émaner du plaignant qui, partie à la procédure (art. 104 al. l, let, b CPP), a qualité pour agir, ayant un intérêt juridiquement protégé à la modification ou à l'annulation de la décision querellée (art. 382 al. 1 CPP).</w:t>
      </w:r>
    </w:p>
    <w:p>
      <w:r>
        <w:rPr>
          <w:b/>
        </w:rPr>
        <w:t>E. 1.2</w:t>
      </w:r>
    </w:p>
    <w:p>
      <w:r>
        <w:t>Le recourant conteste également l'ordonnance de refus d'administration de preuves du 7 mai 2020. Outre qu'il ne prend pas de conclusions formelles en annulation de cette ordonnance, un tel recours est irrecevable en tant qu'il concerne des réquisitions de preuves portant sur les faits objet de son renvoi en jugement auprès du Tribunal de police, qui sont donc sans lien avec l'ordonnance de non-entrée en matière ici attaquée et pouvant être réitérées devant l'autorité de jugement (art. 331 et 343 CPP). Les réquisitions visant les faits visés dans l'ordonnance de non-entrée en matière seront traitées, en tant que de besoin, dans le présent arrêt, puisque le pouvoir d'examen de l'autorité de recours est complet (art. 391 CPP).</w:t>
      </w:r>
    </w:p>
    <w:p>
      <w:r>
        <w:t>- 9/15 - P/16913/2018</w:t>
      </w:r>
    </w:p>
    <w:p>
      <w:r>
        <w:rPr>
          <w:b/>
        </w:rPr>
        <w:t>E. 1.3</w:t>
      </w:r>
    </w:p>
    <w:p>
      <w:r>
        <w:t>Les pièces nouvelles produites à l'appui du recours du plaignant sont recevables, la jurisprudence admettant la production de faits et de moyens de preuve nouveaux en deuxième instance (arrêts du Tribunal fédéral 1B 368/2014 du 5 février 2015 consid. 3.1 et 3.2 et 1B 768/2012 du 15 janvier 2013 consid. 2.1).</w:t>
      </w:r>
    </w:p>
    <w:p>
      <w:r>
        <w:rPr>
          <w:b/>
        </w:rPr>
        <w:t>E. 2</w:t>
      </w:r>
    </w:p>
    <w:p>
      <w:r>
        <w:t>Le recourant fait grief au Ministère public de ne pas être entré en matière sur ses plaintes des 18 février, 12 avril, 29 et 30 août 2019.</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 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2e éd. Bâle 2019, n. 9 ad art. 310, R. PFISTER-LIECHTI (éd.), La procédure pénale fédérale, Fondation pour la formation continue des juges suisses, Berne 2010, p. 62).</w:t>
      </w:r>
    </w:p>
    <w:p>
      <w:r>
        <w:t>- 10/15 - P/16913/2018</w:t>
      </w:r>
    </w:p>
    <w:p>
      <w:r>
        <w:rPr>
          <w:b/>
        </w:rPr>
        <w:t>E. 2.2</w:t>
      </w:r>
    </w:p>
    <w:p>
      <w:r>
        <w:t>L'art. 220 CP condamne celui qui aura soustrait ou refusé de remettre un mineur au détenteur du droit de déterminer le lieu de résidence. L'art. 220 aCP (dans sa version en vigueur jusqu'au 30 juin 2014) faisait référence au détenteur du droit de garde. Le bien juridique protégé est le droit de déterminer le lieu de résidence en tant que composante de l'autorité parentale. La compétence de déterminer le lieu de résidence de l'enfant ainsi que son mode d'encadrement relève de l'autorité parentale (ATF 141 IV 205 consid. 5.3.1 p. 210, ATF 136 111 353 consid. 3.2 p. 356', ATF 128 III 9 consid. 4a p. 9 arrêt du Tribunal fédéral 6B 787/2017 du 12 avril 2018 consid. 4.1, cf. depuis le 1 er juillet 2014 1'art. 301a al. 1 er CC). Cette disposition protège ainsi la personne qui a le droit de décider du lieu de résidence de l'enfant. Le titulaire de ce droit se détermine selon le droit civil (ATF 141 IV 205 consid. 5.3.1 et les références; cf. désormais art. 296 al. 2 et art. 301a al. 1 CC).</w:t>
      </w:r>
    </w:p>
    <w:p>
      <w:r>
        <w:rPr>
          <w:b/>
        </w:rPr>
        <w:t>E. 2.3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En ce qui concerne l'acte "entravant de quelque autre manière sa liberté d'action", il s'agit d'une formulation exagérément large, qui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440 137 IV 326 consid; 3.3.1 p. 328, 134 IV 216 consid. 4.1 p. 218).</w:t>
      </w:r>
    </w:p>
    <w:p>
      <w:r>
        <w:rPr>
          <w:b/>
        </w:rPr>
        <w:t>E. 2.4</w:t>
      </w:r>
    </w:p>
    <w:p>
      <w:r>
        <w:t>En l'espèce, la mise en cause, qui admet n'avoir aucun droit sur l'enfant, a renvoyé d'autorité C______ au Kenya contre le refus, clairement exprimé par écrit, des deux parents de l'enfant, dont le recourant, détenteur de l'autorité parentale; elle a pris soin d'informer la mère de l'adolescente, mettant le père en copie, une fois la mineure dans l'avion. Elle s'est fait retourner, par sa sœur, la carte de légitimation de l'enfant, empêchant de fait celle-ci de revenir résider en Suisse et d'y poursuivre sa scolarité. Elle a déclaré avoir agi ainsi afin que les parents de C______ prennent les</w:t>
      </w:r>
    </w:p>
    <w:p>
      <w:r>
        <w:t>- 11/15 - P/16913/2018 décisions qui s'imposaient alors même qu'elle savait que son mari se trouvait au Kenya. Elle a expressément dit à la mère de C______ que l'enfant devait poursuivre sa formation au Kenya et que le père de cette dernière ne pouvait l'accueillir chez lui, selon le SPMi. À ce stade de l'instruction, il apparaît que la mise en cause a décidé, sans en avoir le droit, du lieu de résidence de l'enfant et a mis le père devant le fait accompli, lequel ne disposait pas des moyens financiers pour payer le billet de retour de l'enfant ni de la carte de légitimation de sa fille. En outre, il n'est pas exclu qu'elle ait délibérément renvoyé l'adolescente au Kenya et repris son titre de séjour, pour contraindre le recourant à y rester avec sa fille et, partant, pour l'éloigner d'elle, vu le contexte conflictuel. Dans ces circonstances, force est de considérer qu'il existe, en l'état, des soupçons suffisants de contrainte et d'enlèvement de mineur par la mise en cause. Le Ministère public devra ainsi entendre la mise en cause sur les motifs exacts du renvoi de C______ au Kenya; de l'absence, à ce jour, de la restitution de la carte de légitimation de l'enfant; et, au besoin, procéder à l'audition de l'employeur de la mise en cause à cet égard.</w:t>
      </w:r>
    </w:p>
    <w:p>
      <w:r>
        <w:rPr>
          <w:b/>
        </w:rPr>
        <w:t>E. 2.5</w:t>
      </w:r>
    </w:p>
    <w:p>
      <w:r>
        <w:t>Le recourant soutient avoir été entravé dans ses relations personnelles avec ses enfants, dès lors que son épouse aurait profité des mesures de substitution lui interdisant de prendre contact avec elle, et des conséquences pour lui en cas de violation, pour empêcher toute relation personnelle avec les enfants, alors qu'aucune interdiction en ce sens ne lui avait jamais été signifiée. À ce sujet, il ressort des rapports successifs du SPI que le recourant a respecté les mesures de substitution. Contrairement à ce que retient le Ministère public, le recourant a étayé les démarches entreprises pour voir ses fils, mais n'a pu les revoir que le 11 février 2020. Rien ne permet de retenir, en l'état, que la mise en cause aurait organisé ou favorisé des relations entre père et enfants. Au contraire, elle a rapporté au Ministère public, par courrier du 31 octobre 2018, que le recourant s'efforçait d'entrer indirectement en contact avec elle, ne précisant cependant pas si ces tentatives de contacts visaient à l'importuner ou à organiser son droit de visite. Ainsi, il n'est pas possible d'exclure à ce stade que la mise en cause ait délibérément usé sans droit de ce processus d'entrave aux relations personnelles qui, s'il devait être avéré, pourrait être constitutif de contrainte. Il apparaît, enfin, que le Ministère public ne s'est pas prononcé sur la plainte du 30 août 2019 concernant la rétention de document. Il lui appartiendra de le faire.</w:t>
      </w:r>
    </w:p>
    <w:p>
      <w:r>
        <w:t>- 12/15 - P/16913/2018</w:t>
      </w:r>
    </w:p>
    <w:p>
      <w:r>
        <w:rPr>
          <w:b/>
        </w:rPr>
        <w:t>E. 2.6</w:t>
      </w:r>
    </w:p>
    <w:p>
      <w:r>
        <w:t>En outre, le recourant fait grief au Ministère public de ne pas être entré en matière sur les infractions de dénonciation calomnieuse et de calomnie. Le Ministère public a déclaré, lors de l'audience du 29 août 2019, qu'une procédure P/1______/2019 avait été ouverte à la suite de la plainte déposée par le recourant le 19 février 2019 [recte : 12 avril 2019]. Cette procédure, qui serait suspendue jusqu'à droit jugé dans le cadre de la présente procédure, ne porterait que sur la diffamation et/ou la calomnie, respectivement la dénonciation calomnieuse, reprochées par le recourant à la mise en cause, en lien avec la plainte pénale déposée par cette dernière pour viol. Il s'ensuit que la Cour de céans n'entrera pas en matière sur ce grief, étant précisé que cette décision de suspension de la procédure P/1______/2019 n'a fait l'objet d'aucun recours. En revanche, la procédure P/1______/2019 ne semble pas viser les faits qualifiés de calomnie par le recourant, afférents au fait que ses enfants auraient peur de lui (cf. plainte pénale du 18 février 2019). Il appartiendra au Ministère public de statuer sur ces questions.</w:t>
      </w:r>
    </w:p>
    <w:p>
      <w:r>
        <w:rPr>
          <w:b/>
        </w:rPr>
        <w:t>E. 3</w:t>
      </w:r>
    </w:p>
    <w:p>
      <w:r>
        <w:t>Fondé, le recours doit être admis. Partant, l'ordonnance querellée sera annulée et la cause retournée au Ministère public pour l'ouverture d'une instruction.</w:t>
      </w:r>
    </w:p>
    <w:p>
      <w:r>
        <w:rPr>
          <w:b/>
        </w:rPr>
        <w:t>E. 3.1</w:t>
      </w:r>
    </w:p>
    <w:p>
      <w:r>
        <w:t>Le recourant sollicite l'assistance judiciaire pour l'activité déployée par son conseil dans la procédure de recours.</w:t>
      </w:r>
    </w:p>
    <w:p>
      <w:r>
        <w:rPr>
          <w:b/>
        </w:rPr>
        <w:t>E. 3.2</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Ainsi, en faisant expressément référence aux prétentions civiles, l'art. 136 CPP souligne clairement qu'un conseil juridique gratuit ne peut être désigné à la partie plaignante qui s'il fait valoir des conclusions civiles dans le cadre de la procédure pénale. Ce n'est que dans le cas où la partie plaignante entend ne participer à la procédure que pour l'aspect pénal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p. 1160).</w:t>
      </w:r>
    </w:p>
    <w:p>
      <w:r>
        <w:t>- 13/15 - P/16913/2018</w:t>
      </w:r>
    </w:p>
    <w:p>
      <w:r>
        <w:rPr>
          <w:b/>
        </w:rPr>
        <w:t>E. 3.3</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138 111 217 consid. 2.2.4 ; 129 1 129 consid. 2.2). Selon l'art. 136 al. 2 let. c CPP, l'assistance judiciaire comprend la désignation d'un conseil juridique gratuit. Celle-ci ne peut toutefois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2 ème éd., , Bâle 2019, n. 59 à 63 ad art. 136 CPP). Bien que l'art. 118 al. 2 CPP ne le précise pas, le dépôt d'une plainte pénale vaut constitution de partie plaignante, mais uniquement en qualité de demandeur au pénal au sens de l'art. 118 al. 1 CPP, une interprétation de la loi que s'en vient conforter l'art. 119 al. 2 let. a CPP. S'il veut également agir comme demandeur au civil, l'auteur de la plainte pénale doit le préciser conformément à l'art. 119 al. 2 let. b CPP, ce qu'il peut faire soit d'entrée de cause (lors du dépôt de sa plainte pénale) soit ultérieurement (A. KUHN / Y. JEANNERET (éds), op.cit., Bâle 2019, n. 14 ad art. 118 et les références citées). 4.3. En l'espèce, le recourant a déposé plaintes sans jamais déclarer vouloir participer à la procédure pénale comme demandeur au civil, de sorte qu'il n'entend pas, à ce stade, faire valoir de conclusions civiles à l'encontre de l'intéressée. Partant, l'une des conditions à l'octroi de l'assistance judiciaire gratuite fait défaut. La demande d'assistance judiciaire gratuite doit dès lors être rejetée.</w:t>
      </w:r>
    </w:p>
    <w:p>
      <w:r>
        <w:t>- 14/15 - P/16913/2018</w:t>
      </w:r>
    </w:p>
    <w:p>
      <w:r>
        <w:rPr>
          <w:b/>
        </w:rPr>
        <w:t>E. 4</w:t>
      </w:r>
    </w:p>
    <w:p>
      <w:r>
        <w:t>L'admission du recours ne donne pas lieu à la perception de frais (art. 428 al. 1 CPP) pas plus que le rejet du recours sur la demande d'assistance judiciaire (art. 20 RAJ).</w:t>
      </w:r>
    </w:p>
    <w:p>
      <w:r>
        <w:t>* * * * *</w:t>
      </w:r>
    </w:p>
    <w:p>
      <w:r>
        <w:t>- 15/15 - P/16913/2018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