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ACPR/878/2024 vom 23. Oktober 2024</w:t>
      </w:r>
    </w:p>
    <w:p>
      <w:r>
        <w:t>GE Cour de justice, 2024-10-23, FR</w:t>
      </w:r>
    </w:p>
    <w:p>
      <w:r>
        <w:rPr>
          <w:b/>
        </w:rPr>
        <w:t xml:space="preserve">Quelle: </w:t>
      </w:r>
      <w:r>
        <w:t>https://mcp.opencaselaw.ch/entscheid/ge_gerichte_ACPR_878_2024</w:t>
      </w:r>
    </w:p>
    <w:p>
      <w:r>
        <w:t>FR: GE_GERICHTE ACPR/878/2024 du 23 octobre 2024</w:t>
      </w:r>
    </w:p>
    <w:p>
      <w:r>
        <w:t>IT: GE_GERICHTE ACPR/878/2024 del 23 ottobre 2024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 3 let. c CEDH (arrêt du Tribunal fédéral 1B_387/2012 du 24 janvier 2013 consid. 4.3).</w:t>
      </w:r>
    </w:p>
    <w:p>
      <w:r>
        <w:rPr>
          <w:b/>
        </w:rPr>
        <w:t>E. 2.2</w:t>
      </w:r>
    </w:p>
    <w:p>
      <w:r>
        <w:t>Une demande de remplacement du défenseur d'office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w:t>
      </w:r>
    </w:p>
    <w:p>
      <w:r>
        <w:t>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w:t>
      </w:r>
    </w:p>
    <w:p>
      <w:r>
        <w:t>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p. 105 ; 105</w:t>
      </w:r>
    </w:p>
    <w:p>
      <w:r>
        <w:t>- 5/8 - P/2136/2017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2e éd., Bâle 2019, n. 17 ad art. 134).</w:t>
      </w:r>
    </w:p>
    <w:p>
      <w:r>
        <w:rPr>
          <w:b/>
        </w:rPr>
        <w:t>E. 2.3</w:t>
      </w:r>
    </w:p>
    <w:p>
      <w:r>
        <w:t>En l'espèce, le recourant allègue une rupture du lien de confiance avec son défenseur d'office.</w:t>
      </w:r>
    </w:p>
    <w:p>
      <w:r>
        <w:t>Ce dernier n'a, quant à lui, pas manifesté le souhait d'être remplacé.</w:t>
      </w:r>
    </w:p>
    <w:p>
      <w:r>
        <w:t>On comprend des griefs du recourant qu'il reproche à son conseil de ne pas vouloir suivre sa stratégie de défense à lui ou donner suite à certaines de ses requêtes.</w:t>
      </w:r>
    </w:p>
    <w:p>
      <w:r>
        <w:t>Comme relevé plus haut, de simples divergences d'opinions dans la manière d'assurer la défense du prévenu ne constituent pas un motif justifiant un changement d'avocat. La mission de ce dernier ne se limite pas à se faire l'interprète des sentiments et des arguments de son client. Ainsi, que la stratégie de défense de l'avocat d'office ne plaise pas au prévenu n'est pas de nature à gravement perturber la relation de confiance entre eux.</w:t>
      </w:r>
    </w:p>
    <w:p>
      <w:r>
        <w:t>Plus précisément, les écrits litigieux produits par le recourant – et qui seraient selon lui à l'origine de la rupture du lien de confiance – étant antérieurs de plus d'une année à la requête de changement d'avocat, il est permis, déjà pour ce motif, de douter de leur acuité. Quant à leur contenu, on relèvera que l'avocat d'office répond aux propres propos ou écrits du prévenu – dont on ignore la teneur, le prévenu ne les produisant pas – que l'avocat qualifie d'accusateurs et menaçants, voire de chantage. On y lit également que l'avocat demande à son client, s'il entend plaider une responsabilité pénale diminuée en raison de son état de santé mentale, de lui transmettre les documents nécessaires (courriels du 20 juin 2023). On peine ainsi à voir là des motifs de remplacement objectifs. Dans son courriel du 25 juillet 2023, l'avocat d'office réfute tout comportement de harcèlement, indiquant n'avoir fait que répondre aux "multiples courriels" de son client sur le dossier, ajoutant s'être tenu à la stratégie convenue. Ses propos relatifs à l'Hospice général, lequel s'était "engouffré dans la brèche", et au doute quant à la bonne foi de son client sont à mettre en parallèle avec la plainte de l'Hospice général pour escroquerie et obtention illicite de prestation d'une assurance sociale ou de l'aide sociale déposée contre le prévenu [laquelle sera classée par le Ministère public le 26 septembre 2024]. Que le ton possiblement moralisateur de l'avocat déplaise au recourant ne signifie pas encore que la relation de confiance entre eux serait rompue. Il en va de même des propos de l'avocat relatifs à l'assistance judiciaire offerte à son client par la Suisse et à sa conviction que celui qui s'en donne la peine peut travailler.</w:t>
      </w:r>
    </w:p>
    <w:p>
      <w:r>
        <w:t>- 6/8 - P/2136/2017</w:t>
      </w:r>
    </w:p>
    <w:p>
      <w:r>
        <w:t>Il n'existe ainsi, en l'état, aucun motif objectif laissant entrevoir que Me B______ n'assurerait pas une défense efficace du recourant ou que la relation de confiance entre eux serait gravement perturbée.</w:t>
      </w:r>
    </w:p>
    <w:p>
      <w:r>
        <w:t>Au regard des conditions strictes posées par l'art. 134 al. 2 CPP, le changement du défenseur désigné ne se justifie donc pas, ce d'autant que le recourant a déjà obtenu par deux fois un changement d'avocat et que la procédure touche à sa fin.</w:t>
      </w:r>
    </w:p>
    <w:p>
      <w:r>
        <w:rPr>
          <w:b/>
        </w:rPr>
        <w:t>E. 3</w:t>
      </w:r>
    </w:p>
    <w:p>
      <w:r>
        <w:t>Le recours sera dès lors rejeté.</w:t>
      </w:r>
    </w:p>
    <w:p>
      <w:r>
        <w:rPr>
          <w:b/>
        </w:rPr>
        <w:t>E. 4</w:t>
      </w:r>
    </w:p>
    <w:p>
      <w:r>
        <w:t>Le recourant, bien qu'au bénéfice de l'assistance juridique, supportera les frais de la procédure de recours (art. 428 al. 1 CPP; arrêts du Tribunal fédéral 1B_203/2011 du 18 mai 2011 consid. 4 et 1B_372/2014 du 8 avril 2015 consid. 4.6), qui seront fixés en totalité à CHF 500.- (art. 13 al. 1 du Règlement fixant le tarif des frais en matière pénale, RTFMP; E 4 10.03). * * * * *</w:t>
      </w:r>
    </w:p>
    <w:p>
      <w:r>
        <w:t>- 7/8 - P/2136/2017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