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ACPR/877/2022 vom 21. September 2022</w:t>
      </w:r>
    </w:p>
    <w:p>
      <w:r>
        <w:t>GE Cour de justice, 2022-09-21, FR</w:t>
      </w:r>
    </w:p>
    <w:p>
      <w:r>
        <w:rPr>
          <w:b/>
        </w:rPr>
        <w:t xml:space="preserve">Quelle: </w:t>
      </w:r>
      <w:r>
        <w:t>https://mcp.opencaselaw.ch/entscheid/ge_gerichte_ACPR_877_2022</w:t>
      </w:r>
    </w:p>
    <w:p>
      <w:r>
        <w:t>FR: GE_GERICHTE ACPR/877/2022 du 21 septembre 2022</w:t>
      </w:r>
    </w:p>
    <w:p>
      <w:r>
        <w:t>IT: GE_GERICHTE ACPR/877/2022 del 21 settembre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À titre liminaire, la Chambre de céans constate que le recourant ne remet pas en cause l'ordonnance querellée en tant qu'il a été décidé de ne pas entrer en matière sur les faits potentiellement constitutifs de violation simple des règles de la circulation (art. 90 al. 1 LCR) qui lui était reprochée. Ce point n'est plus litigieux de sorte qu'il ne sera pas examiné ici (art. 385 al. 1 let. a CPP).</w:t>
      </w:r>
    </w:p>
    <w:p>
      <w:r>
        <w:rPr>
          <w:b/>
        </w:rPr>
        <w:t>E. 3</w:t>
      </w:r>
    </w:p>
    <w:p>
      <w:r>
        <w:t>Le recourant affirme que les conditions d'une non-entrée en matière n'étaient pas réunies s'agissant des faits dénoncés dans sa plainte.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w:t>
      </w:r>
    </w:p>
    <w:p>
      <w:r>
        <w:t>- 8/13 - P/21239/2021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R. PFISTER-LIECHTI (éd.), La procédure pénale fédérale, Fondation pour la formation continue des juges suisses, Berne 2010, p. 62; DCPR/85/2011 du 27 avril 2011).</w:t>
      </w:r>
    </w:p>
    <w:p>
      <w:r>
        <w:rPr>
          <w:b/>
        </w:rPr>
        <w:t>E. 3.2</w:t>
      </w:r>
    </w:p>
    <w:p>
      <w:r>
        <w:t>L'art.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et les références citées). Pour déterminer plus précisément les devoirs imposés par la prudence, on peut se référer à des normes édictées par l'ordre juridique pour assurer la sécurité et éviter les accidents. Dans le domaine du trafic routier, il convient de se référer aux règles de la circulation routière (ATF 122 IV 133 consid. 2a p. 135).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w:t>
      </w:r>
    </w:p>
    <w:p>
      <w:r>
        <w:rPr>
          <w:b/>
        </w:rPr>
        <w:t>E. 3.3</w:t>
      </w:r>
    </w:p>
    <w:p>
      <w:r>
        <w:t>Une infraction de résultat, qui suppose en général une action, peut aussi être commise par omission si l'auteur est resté passif au mépris d'une obligation juridique qui lui commandait impérieusement d'agir pour éviter le résultat (cf. art. 11 CP). N'importe quelle obligation juridique ne suffit pas. Il faut qu'elle ait découlé d'une position de garant, c'est-à-dire que l'auteur se soit trouvé dans une situation qui</w:t>
      </w:r>
    </w:p>
    <w:p>
      <w:r>
        <w:t>- 9/13 - P/21239/2021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134 IV 255 consid. 4.2.1. p. 259).</w:t>
      </w:r>
    </w:p>
    <w:p>
      <w:r>
        <w:rPr>
          <w:b/>
        </w:rPr>
        <w:t>E. 3.4</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135 IV 56 consid. 2.1 p. 64; 134 IV 255 consid. 4.2.3 p. 262). En second lieu, la violation du devoir de prudence doit être fautive, c'est-à-dire qu'il faut pouvoir reprocher à l'auteur une inattention ou un manque d'effort blâmable (ATF 135 IV 56 consid. 2.1 p. 64; 134 IV 255 consid. 4.2.3 p. 262 et les références citées).</w:t>
      </w:r>
    </w:p>
    <w:p>
      <w:r>
        <w:rPr>
          <w:b/>
        </w:rPr>
        <w:t>E. 3.5</w:t>
      </w:r>
    </w:p>
    <w:p>
      <w:r>
        <w:t>Conformément à un principe général de l'ordre juridique, celui qui a créé, entretenu ou accru un état de choses susceptible de mettre autrui en danger est tenu de prendre toutes les mesures commandées par les circonstances pour éviter la survenance d'un dommage ou, le cas échéant, l'aggravation de l'atteinte déjà causée; sont exigées les mesures propres à prévenir les conséquences prévisibles de l'abstention, soit les effets que l'on peut attribuer à l'acte préalable en appliquant la théorie de la causalité adéquate (ATF 134 IV 255 consid. 4.2.2. p. 260).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il ne saurait exciper des lacunes des prescriptions de sécurité légales, administratives ou associatives applicables (ibid.).</w:t>
      </w:r>
    </w:p>
    <w:p>
      <w:r>
        <w:t>- 10/13 - P/21239/2021</w:t>
      </w:r>
    </w:p>
    <w:p>
      <w:r>
        <w:rPr>
          <w:b/>
        </w:rPr>
        <w:t>E. 3.6</w:t>
      </w:r>
    </w:p>
    <w:p>
      <w:r>
        <w:t>Aux termes de l'art. 5 al. 1 de la loi sur la circulation routière (LCR; RS 741.01), les limitations et prescriptions relatives à la circulation des véhicules automobiles et des cycles doivent être indiquées par des signaux ou des marques, lorsqu'elles ne s'appliquent pas à l'ensemble du territoire suisse. Selon l'art. 101 al. 3 de l'ordonnance sur la signalisation routière (OSR; RS741.21), les signaux et les marques ne doivent pas être ordonnés et placés sans nécessité ni faire défaut là où ils sont indispensables. Il convient de se demander si l'installation d'une signalisation routière était nécessaire ou indispensable, compte tenu de la configuration des lieux (cf. ATF 99 II 195 consid. 4a).</w:t>
      </w:r>
    </w:p>
    <w:p>
      <w:r>
        <w:rPr>
          <w:b/>
        </w:rPr>
        <w:t>E. 3.7</w:t>
      </w:r>
    </w:p>
    <w:p>
      <w:r>
        <w:t>En premier lieu, il est incontesté que l'aménagement et la signalisation des lieux étaient en tout point conformes aux normes en vigueur le jour de l'accident. Par ailleurs, le recourant a expliqué n'avoir aucun souvenir des circonstances dans lesquelles l'accident s'était produit puisqu'il avait perdu connaissance. Ainsi, l'existence d'un lien de causalité adéquate entre l'aménagement litigieux et les lésions subies par ce dernier n'est pas établi. Même à considérer un tel lien comme établi, il convient d'examiner si, en l'absence de tout autre marquage et toute signalisation – en particulier un guidage optique ou un signal indiquant une interdiction de circuler, comme le prône le recourant – l'état et la configuration des lieux suffisaient à créer un danger pour les usagers de la route (arrêt du Tribunal fédéral 6B_896/2018 du 7 février 2019 consid. 3.5.). Tel n'est pas le cas en l'occurrence. D'après les photographies au dossier, prises le jour des faits (rapport du 17 janvier 2022, p. 2), il apparait que, depuis le trottoir mixte, l'aménagement litigieux ne pouvait guère s'interpréter comme étant le prolongement de ce tronçon. En effet, en s'en approchant, le recourant ne pouvait qu'apercevoir, au sol, sur sa gauche, le marquage en zigzag annonçant la présence d'un arrêt de bus, mais encore, sur sa droite, le pictogramme "cycles" peint en jaune, lequel indiquait clairement la direction à suivre. Cette signalisation était d'autant plus visible que l'accident a eu lieu en plein jour, alors que les conditions météorologiques étaient bonnes, et qu'aucune feuille morte, par exemple, ne se trouvait sur le chemin. Ainsi, le fait que les contrastes de couleur de la bordure basse par rapport au trottoir puissent avoir été insuffisants importe peu, dès lors que cet emplacement apparaissait comme une zone reconnaissable d'attente pour l'accès aux transports publics et ne pouvait être confondu avec la continuité du trottoir mixte. Même à supposer que le recourant eût imaginé que le trottoir mixte se prolongeait sur le bord de la chaussée, c’est-à-dire devant et non derrière l'abribus, le fait qu'il circulait, venant de Bellevue sur un trottoir avec cycles autorisés (art. 65 al. 8 OSR), impliquait qu'il devait s'attendre à la présence de piétons déambulant ou sortant des</w:t>
      </w:r>
    </w:p>
    <w:p>
      <w:r>
        <w:t>- 11/13 - P/21239/2021 propriétés adjacentes, à qui il devait la priorité (art. 33 al. 4 OSR). Le recourant devait ainsi pouvoir stopper son cycle en arrivant dans ladite zone d'attente ou, à tout le moins, avant d'entrer en collision avec l'aménagement litigieux ou, pire, avec un piéton. Ainsi, l'aménagement litigieux ne créait pas, en lui-même, le danger de causer un accident à un cycliste diligent. Que d'autres accidents aient pu survenir au même endroit n'y change rien, puisqu'il ressort des articles de presse et courriels produits à leur sujet que les circonstances concrètes dans lesquels ils se sont produits ne sont pas comparables ni entre elles ni avec celles régnant au moment de l'arrivée du recourant. Le fait que des modifications aient été entreprises par la suite non plus, puisqu'il ressort du rapport de F______ que ces mesures s'imposaient pour améliorer la visibilité de la bordure par "mauvais temps ou la nuit". Enfin, contrairement à ce que soutient le recourant, la jurisprudence citée dans ses écritures (arrêt du Tribunal fédéral 6B_15/2007 du 9 mai 2007) ne saurait s'appliquer mutatis mutandis en l'occurrence, dès lors qu'elle traite de la problématique spécifique de la signalisation d'un chantier, en l'occurrence de l'excavation d'une fouille sur une piste cyclable, ayant entraîné la chute d'un cycliste alcoolisé et sous l'empire de benzodiazépines. Au vu de ce qui précède, l'autorité publique – chargée de la signalisation routière – ne pouvait prévoir que le recourant, en plein jour, circulerait par mégarde devant, et non derrière, l'abribus et ne stopperait pas son cycle avant de rentrer en collision avec le mobilier urbain. Elle n'était donc pas tenue de prendre des mesures de sécurité particulières, en tout cas pas dans la configuration diurne qui a vu le choc et la chute du recourant. Partant, l'existence d'une négligence fautive doit être niée, de sorte que les éléments constitutifs de l'art. 125 CP ne sont pas réunis. Au vu de ce qui précède, on ne voit pas ce que l'ouverture d'une instruction pourrait amener de différent. Le recourant ne l'explique pas, d'ailleurs.</w:t>
      </w:r>
    </w:p>
    <w:p>
      <w:r>
        <w:rPr>
          <w:b/>
        </w:rPr>
        <w:t>E. 4</w:t>
      </w:r>
    </w:p>
    <w:p>
      <w:r>
        <w:t>Le recours doit donc être rejeté.</w:t>
      </w:r>
    </w:p>
    <w:p>
      <w:r>
        <w:rPr>
          <w:b/>
        </w:rPr>
        <w:t>E. 5</w:t>
      </w:r>
    </w:p>
    <w:p>
      <w:r>
        <w:t>Dès lors, la Chambre de céans pouvait décider d'emblée de le traiter sans échange d'écritures ni débats (art. 390 al. 2 et 5 a contrario CPP).</w:t>
      </w:r>
    </w:p>
    <w:p>
      <w:r>
        <w:rPr>
          <w:b/>
        </w:rPr>
        <w:t>E. 6</w:t>
      </w:r>
    </w:p>
    <w:p>
      <w:r>
        <w:t>N'ayant pas gain de cause, le recourant supportera les frais envers l'État, qui seront fixés en totalité à CHF 1'000.- (art. 428 al. 1 CPP et 13 al. 1 du Règlement fixant le tarif des frais en matière pénale, RTFMP; E 4 10.03)</w:t>
      </w:r>
    </w:p>
    <w:p>
      <w:r>
        <w:t>- 12/13 - P/21239/2021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