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ACPR/874/2020 vom 20. November 2020</w:t>
      </w:r>
    </w:p>
    <w:p>
      <w:r>
        <w:t>GE Cour de justice, 2020-11-20, FR</w:t>
      </w:r>
    </w:p>
    <w:p>
      <w:r>
        <w:rPr>
          <w:b/>
        </w:rPr>
        <w:t xml:space="preserve">Quelle: </w:t>
      </w:r>
      <w:r>
        <w:t>https://mcp.opencaselaw.ch/entscheid/ge_gerichte_ACPR_874_2020</w:t>
      </w:r>
    </w:p>
    <w:p>
      <w:r>
        <w:t>FR: GE_GERICHTE ACPR/874/2020 du 20 novembre 2020</w:t>
      </w:r>
    </w:p>
    <w:p>
      <w:r>
        <w:t>IT: GE_GERICHTE ACPR/874/2020 del 20 novembre 2020</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c et 393 al. 1 let. c) et émaner du prévenu, partie au procès (art. 104 al. 1 let. a CPP), qui a qualité pour recourir.</w:t>
      </w:r>
    </w:p>
    <w:p>
      <w:r>
        <w:rPr>
          <w:b/>
        </w:rPr>
        <w:t>E. 2</w:t>
      </w:r>
    </w:p>
    <w:p>
      <w:r>
        <w:t>Le recourant ne discute pas les charges, sauf à contester la pénétration de l'adolescente; à alléguer que F______ et lui avaient atteint l'âge de la majorité sexuelle selon la loi brésilienne; et à ne pas avoir visionné l'entier de la vidéo pédopornographique. En l'état de la procédure, les charges retenues – en particulier celle relatives à l'art. 187 CP – apparaissent toutefois suffisantes et graves, au sens de l'art. 221 al. 1 première phrase CPP, au vu des éléments au dossier, pour justifier la détention provisoire.</w:t>
      </w:r>
    </w:p>
    <w:p>
      <w:r>
        <w:rPr>
          <w:b/>
        </w:rPr>
        <w:t>E. 3.1</w:t>
      </w:r>
    </w:p>
    <w:p>
      <w:r>
        <w:t>p. 275) ou d'une libération conditionnelle (arrêt 1B_82/2013 du 27 mars 2013 consid. 3.2, in Pra 2013 74 549).</w:t>
      </w:r>
    </w:p>
    <w:p>
      <w:r>
        <w:rPr>
          <w:b/>
        </w:rPr>
        <w:t>E. 3.2</w:t>
      </w:r>
    </w:p>
    <w:p>
      <w:r>
        <w:t>En l'espèce, si le recourant reconnait les faits, il conteste notamment la pénétration. Le Procureur a ordonné la réaudition de l'adolescente, notamment sur les questions transmises par le prévenu. Bien que son téléphone portable ait été saisi, le prévenu pourrait tenter de contacter la jeune fille par des tiers ou par les réseaux sociaux afin de l'orienter sur les réponses à donner, notamment sur la pénétration ou non lors de leur relation. Son intérêt à entrer en contact avec la jeune fille et à lui faire modifier sa version n'est ainsi pas à exclure. Partant, c'est à juste titre que le TMC a retenu l'existence d'un risque de collusion.</w:t>
      </w:r>
    </w:p>
    <w:p>
      <w:r>
        <w:rPr>
          <w:b/>
        </w:rPr>
        <w:t>E. 4</w:t>
      </w:r>
    </w:p>
    <w:p>
      <w:r>
        <w:t>C'est également à juste titre que l'ordonnance querellée a retenu 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Le recourant, de nationalité brésilienne séjourne illégalement en Suisse et n'a aucun revenu. Il ne vit plus avec la mère de sa fille et a déclaré avoir l'intention de repartir au Brésil, étant précisé que son père lui avait déjà acheté un billet de retour; sa nouvelle compagne a également l'intention de quitter la Suisse. Le risque de fuite est ainsi élevé au vu de sa situation judiciaire, financière et familiale, en particulier en regard de la peine menace.</w:t>
      </w:r>
    </w:p>
    <w:p>
      <w:r>
        <w:t>- 7/9 - P/11460/2020</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l'espèce, l'interdiction de contact est largement insuffisante à pallier le risque concret et important de collusion; elle ne repose que sur la volonté du prévenu, de sorte qu'il suffirait d'une seule violation pour compromettre l'instruction et son constat n'interviendrait que tardivement. À cet égard, il demeure important, à ce stade, que l'instruction soit menée sans influence du prévenu. L'assignation à résidence, le dépôt du passeport et l'obligation de se présenter à un poste de police, ne paraissent, en l'état, pas suffisantes à pallier le risque de fuite, comme l'a relevé le TMC. Le versement d'une caution de CHF 5'000.- n'apparaît pas dissuasive au regard des enjeux en présence.</w:t>
      </w:r>
    </w:p>
    <w:p>
      <w:r>
        <w:rPr>
          <w:b/>
        </w:rPr>
        <w:t>E. 6</w:t>
      </w:r>
    </w:p>
    <w:p>
      <w:r>
        <w:t>Au vu des infractions reprochées au prévenu, la mise en détention provisoire ne viole pas le principe de la proportionnalité. Il est prévenu, en concours, d'infraction à l'art. 187 CP laquelle est passible d'une peine privative de liberté de cinq ans au plus, étant rappelé qu'afin d'éviter d'empiéter sur les compétences du juge du fond, le juge de la détention ne tient en principe pas compte de la possibilité éventuelle de l'octroi, par l'autorité de jugement, d'un sursis, d'un sursis partiel (ATF 139 IV 270 consid.</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- 8/9 - P/11460/2020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