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ACPR/873/2020 vom 9. November 2020</w:t>
      </w:r>
    </w:p>
    <w:p>
      <w:r>
        <w:t>GE Cour de justice, 2020-11-09, FR</w:t>
      </w:r>
    </w:p>
    <w:p>
      <w:r>
        <w:rPr>
          <w:b/>
        </w:rPr>
        <w:t xml:space="preserve">Quelle: </w:t>
      </w:r>
      <w:r>
        <w:t>https://mcp.opencaselaw.ch/entscheid/ge_gerichte_ACPR_873_2020</w:t>
      </w:r>
    </w:p>
    <w:p>
      <w:r>
        <w:t>FR: GE_GERICHTE ACPR/873/2020 du 9 novembre 2020</w:t>
      </w:r>
    </w:p>
    <w:p>
      <w:r>
        <w:t>IT: GE_GERICHTE ACPR/873/2020 del 9 novembre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souhaite une audience de plaidoirie.</w:t>
      </w:r>
    </w:p>
    <w:p>
      <w:r>
        <w:rPr>
          <w:b/>
        </w:rPr>
        <w:t>E. 2.1</w:t>
      </w:r>
    </w:p>
    <w:p>
      <w:r>
        <w:t>De jurisprudence éprouvée, l'art. 29 al. 2 Cst. ne confère aucun droit à l'oralité de la procédure et ne donne notamment pas aux parties le droit de s'exprimer verbalement devant l'autorité appelée à prendre une décision. Au regard de cette</w:t>
      </w:r>
    </w:p>
    <w:p>
      <w:r>
        <w:t>- 8/15 - P/9298/2014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ACPR/422/2012 du 14 octobre 2012).</w:t>
      </w:r>
    </w:p>
    <w:p>
      <w:r>
        <w:rPr>
          <w:b/>
        </w:rPr>
        <w:t>E. 2.2</w:t>
      </w:r>
    </w:p>
    <w:p>
      <w:r>
        <w:t>En l'espèce, le recourant a pu faire valoir ses griefs dans ses écritures. Ses droits ont ainsi été pleinement respectés et il ne sera donc pas ordonné d'audience.</w:t>
      </w:r>
    </w:p>
    <w:p>
      <w:r>
        <w:rPr>
          <w:b/>
        </w:rPr>
        <w:t>E. 3</w:t>
      </w:r>
    </w:p>
    <w:p>
      <w:r>
        <w:t>Le recourant ne conteste pas l'existence de charges suffisantes, de sorte qu'il n'y a pas lieu de s'y attarder.</w:t>
      </w:r>
    </w:p>
    <w:p>
      <w:r>
        <w:rPr>
          <w:b/>
        </w:rPr>
        <w:t>E. 4</w:t>
      </w:r>
    </w:p>
    <w:p>
      <w:r>
        <w:t>Il reproche au TMC de ne pas avoir suffisamment motivé son ordonnance.</w:t>
      </w:r>
    </w:p>
    <w:p>
      <w:r>
        <w:rPr>
          <w:b/>
        </w:rPr>
        <w:t>E. 4.1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 4 avril 2014 consid. 2.2).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w:t>
      </w:r>
    </w:p>
    <w:p>
      <w:r>
        <w:t>- 9/15 - P/9298/2014 cause soit tranchée dans un délai raisonnable (ATF 137 I 195 consid 2.3.2 = SJ 2011 I 347 ; 136 V 117 consid. 4.2.2.2; 133 I 201 consid. 2.2).</w:t>
      </w:r>
    </w:p>
    <w:p>
      <w:r>
        <w:rPr>
          <w:b/>
        </w:rPr>
        <w:t>E. 4.2</w:t>
      </w:r>
    </w:p>
    <w:p>
      <w:r>
        <w:t>En l'occurrence, le premier juge a effectivement repris, quasiment mot pour mot, les arguments développés par le Ministère public dans sa demande de prolongation de la détention, sans répondre à ceux soulevés par le recourant dans ses observations (tels que la présence de ses deux filles mineures en Suisse, l'impossibilité de retourner dans son pays en raison de l'absence de moyens de transport, son désir de collaborer, l'inexistence du risque de réitération dès lors qu'il ne possédait plus d'entreprise, la situation sanitaire à la prison). Quand bien même la Chambre de céans dispose d'un plein pouvoir de cognition en droit, en fait et en opportunité (art. 393 al. 2 CPP; ATF 137 I 195 consid. 2.3.2 p. 197; arrêt du Tribunal fédéral 1B_524/2012 du 15 novembre 2012 consid. 2.1), il appartient à l'autorité de première instance de statuer sur les demandes et griefs qui lui sont présentés, sous peine de vider de son sens le principe du double degré de juridiction. Dans la mesure cependant où le recourant a pu à nouveau faire valoir ses moyens ici, la violation du droit d'être entendu sera considérée comme réparée, sans qu'il soit nécessaire d'annuler l'ordonnance attaquée et de renvoyer la cause au TMC pour défaut de motivation.</w:t>
      </w:r>
    </w:p>
    <w:p>
      <w:r>
        <w:rPr>
          <w:b/>
        </w:rPr>
        <w:t>E. 5</w:t>
      </w:r>
    </w:p>
    <w:p>
      <w:r>
        <w:t>Le recourant conteste le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5.2</w:t>
      </w:r>
    </w:p>
    <w:p>
      <w:r>
        <w:t>En l'espèce, la témoin J______ a été entendue contradictoirement le 26 novembre 2020 et le prévenu auditionné à nouveau en détail, lors de cette audience, sur les différents cas relatifs aux assurances, qu'il a reconnus.</w:t>
      </w:r>
    </w:p>
    <w:p>
      <w:r>
        <w:t>- 10/15 - P/9298/2014</w:t>
      </w:r>
    </w:p>
    <w:p>
      <w:r>
        <w:t>L'instruction semble ainsi à bout touchant et on ne décèle plus de risque de collusion concret.</w:t>
      </w:r>
    </w:p>
    <w:p>
      <w:r>
        <w:rPr>
          <w:b/>
        </w:rPr>
        <w:t>E. 6</w:t>
      </w:r>
    </w:p>
    <w:p>
      <w:r>
        <w:t>Le recourant conteste le risque de fuite.</w:t>
      </w:r>
    </w:p>
    <w:p>
      <w:r>
        <w:rPr>
          <w:b/>
        </w:rPr>
        <w:t>E. 6.1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6.2</w:t>
      </w:r>
    </w:p>
    <w:p>
      <w:r>
        <w:t>En l'occurrence, le recourant est de nationalité sénégalaise, sans activité lucrative, séparé de son épouse et sera sans titre de séjour valable en Suisse à sa sortie de détention. La présence de ses deux filles mineures à Genève ne l'a pas dissuadé de quitter la Suisse pour l'étranger en septembre 2015, pendant presque cinq ans, de sorte qu'il ne saurait en aller différemment aujourd'hui. Lui-même affirme du reste avoir tout perdu, même ses enfants. Partant, on ne voit pas quel frein suffisant l'empêcherait de quitter à nouveau la Suisse pour échapper à la justice, étant rappelé qu'il avait dû être placé sous avis de recherche et mandat d'arrêt international à l'époque après avoir fait faux bond à plusieurs audiences. Ce risque de fuite s'est encore accru avec la connaissance précise des charges pesant à son encontre, de sorte qu'il ne saurait tirer aucun argument du fait qu'il soit revenu spontanément en Suisse au début 2020. Le fait qu'il reconnaisse à présent les faits et déclare vouloir payer pour ses fautes n'est pas non plus suffisant. Le recourant dispose en outre d'attaches en France, où il a vécu plusieurs mois avant de revenir en Suisse, et aux États-Unis où il dit avoir de la famille. Certes, la pandémie covid-19 limite les déplacements, surtout par les airs, mais ne les rend pas totalement impossibles. Quant à l'absence de moyens financiers pour voyager, elle n'est aucunement établie, le recourant ayant au contraire démontré avoir pu se rendre tant au Sénégal qu'aux États-Unis. Le risque de fuite est donc toujours très concret.</w:t>
      </w:r>
    </w:p>
    <w:p>
      <w:r>
        <w:rPr>
          <w:b/>
        </w:rPr>
        <w:t>E. 7</w:t>
      </w:r>
    </w:p>
    <w:p>
      <w:r>
        <w:t>Le recourant conteste le risque de réitération.</w:t>
      </w:r>
    </w:p>
    <w:p>
      <w:r>
        <w:rPr>
          <w:b/>
        </w:rPr>
        <w:t>E. 7.1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w:t>
      </w:r>
    </w:p>
    <w:p>
      <w:r>
        <w:t>- 11/15 - P/9298/2014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1B_413/2019 du 11 septembre 2019 consid. 3.1). 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(ATF 143 IV 9 consid. 2.7 p. 15; arrêts 1B_43/2020 du 14 février 2020 et les arrêts cités).</w:t>
      </w:r>
    </w:p>
    <w:p>
      <w:r>
        <w:rPr>
          <w:b/>
        </w:rPr>
        <w:t>E. 7.2</w:t>
      </w:r>
    </w:p>
    <w:p>
      <w:r>
        <w:t>En l'espèce, le recourant est principalement soupçonné d'infractions patrimoniales dont la gravité est certaine. Il a déjà été condamné par ordonnances pénales pour lésions corporelles simples au préjudice de son ex-épouse (le 31 janvier 2011), tentative d'escroquerie et faux dans les titres au préjudice d'une assurance- véhicule (29 mars 2012), escroquerie au préjudice de la caisse de chômage et instigation à la falsification ou la contrefaçon de plaques de contrôle (12 décembre 2012) et escroquerie au préjudice de l'Hospice général (8 août 2013). Malgré ces antécédents, il a poursuivi ses agissements délictueux pendant une longue période au préjudice de plusieurs assurances et pour des montants conséquents. Sa volonté délictueuse s'est donc intensifiée. Si le recourant ne possède plus d'entreprise, rien ne l'empêche de commettre à nouveau des infractions patrimoniales au préjudice d'une assurance quelconque ou d'un autre organisme étatique, en personne, comme il l'a fait par le passé, ce risque étant même renforcé par sa situation personnelle. L'intensité des atteintes patrimoniales causées par le prévenu palliant largement l'absence de mise en danger de la sécurité publique, il y a lieu d'admettre un risque de récidive.</w:t>
      </w:r>
    </w:p>
    <w:p>
      <w:r>
        <w:rPr>
          <w:b/>
        </w:rPr>
        <w:t>E. 8.1</w:t>
      </w:r>
    </w:p>
    <w:p>
      <w:r>
        <w:t>Conformément au principe de la proportionnalité (art. 36 al. 3 Cst.), il convient d'examiner les possibilités de mettre en œuvre d'autres solutions moins dommageables que la détention (règle de la nécessité). Cette exigence est concrétisée</w:t>
      </w:r>
    </w:p>
    <w:p>
      <w:r>
        <w:t>- 12/15 - P/9298/2014 par l'art. 237 al. 1 CPP, qui prévoit que le tribunal compétent ordonne une ou plusieurs mesures moins sévères en lieu et place de la détention si ces mesures permettent d'atteindre le même but que la détention.</w:t>
      </w:r>
    </w:p>
    <w:p>
      <w:r>
        <w:rPr>
          <w:b/>
        </w:rPr>
        <w:t>E. 8.2</w:t>
      </w:r>
    </w:p>
    <w:p>
      <w:r>
        <w:t>En l'occurrence, aucune des mesures de substitution proposées par le recourant n'est apte à pallier les risques de fuite et récidive.</w:t>
      </w:r>
    </w:p>
    <w:p>
      <w:r>
        <w:t>Le dépôt des papiers d'identité n'empêche pas de quitter la Suisse par voie terrestre, étant rappelé que le prévenu a résidé en France avant de revenir en Suisse en 2020.</w:t>
      </w:r>
    </w:p>
    <w:p>
      <w:r>
        <w:t>Quant à la présentation régulière à un service administratif, elle ne permettrait, en cas de violation, qu'à constater la fuite après coup, tout comme le port d'un bracelet électronique.</w:t>
      </w:r>
    </w:p>
    <w:p>
      <w:r>
        <w:t>Ce dernier dispositif serait en outre inadéquat pour atténuer le danger d'une récidive car il n'empêcherait pas un passage à l'acte. Il laisserait en outre le recourant inoccupé et sans ressources. C'est compter sans l'absence de précisions factuelles sur les conditions matérielles concrètes de l'astreinte à domicile qui y serait liée.</w:t>
      </w:r>
    </w:p>
    <w:p>
      <w:r>
        <w:rPr>
          <w:b/>
        </w:rPr>
        <w:t>E. 9</w:t>
      </w:r>
    </w:p>
    <w:p>
      <w:r>
        <w:t>La libération du recourant pour cause de pandémie covid-19 tombe à faux.</w:t>
      </w:r>
    </w:p>
    <w:p>
      <w:r>
        <w:t>Comme déjà jugé à maintes reprises par la Chambre de céans, la situation sanitaire actuelle n'est pas, à elle seule, suffisante pour justifier la libération d'un prévenu, l'établissement étant équipée d'un service médical et la crainte d'une infection n'impliquant pas que le détenu serait privé de soins, si nécessaire (ACPR/304/2020 du 13 mai 2020 consid. 5; ACPR/282/2020 du 5 mai 2020 consid. 8; ACPR/207/2020 du 18 mars 2020 consid. 5). Le recourant ne court pas plus de danger à l'intérieur qu'à l'extérieur de la prison de B______ (cf. arrêt du Tribunal fédéral 1B_169/2020 du 8 avril 2020 consid. 2.3.), preuve en est qu'il n'allègue ni n'établit être porteur de l'infection, voire malade. Si son état de santé devait se dégrader ou la situation sanitaire à B______ se péjorer au point de mettre des détenus en danger, le service médical de la prison prendrait les dispositions nécessaires.</w:t>
      </w:r>
    </w:p>
    <w:p>
      <w:r>
        <w:rPr>
          <w:b/>
        </w:rPr>
        <w:t>E. 10</w:t>
      </w:r>
    </w:p>
    <w:p>
      <w:r>
        <w:t>La durée de la détention provisoire subie à ce jour par le recourant et à l'échéance de la prolongation ordonnée respecte le principe de la proportionnalité (197 al. 1 et 212 al. 3 CPP), compte tenu de la gravité des faits reprochés et la peine-menace concrètement encourue.</w:t>
      </w:r>
    </w:p>
    <w:p>
      <w:r>
        <w:t>La durée de prolongation de la détention ordonnée devrait permettre au Ministère public de clore son instruction et de renvoyer le prévenu en jugement.</w:t>
      </w:r>
    </w:p>
    <w:p>
      <w:r>
        <w:rPr>
          <w:b/>
        </w:rPr>
        <w:t>E. 11</w:t>
      </w:r>
    </w:p>
    <w:p>
      <w:r>
        <w:t>Le recours s'avère ainsi infondé et doit être rejeté.</w:t>
      </w:r>
    </w:p>
    <w:p>
      <w:r>
        <w:t>- 13/15 - P/9298/2014</w:t>
      </w:r>
    </w:p>
    <w:p>
      <w:r>
        <w:rPr>
          <w:b/>
        </w:rPr>
        <w:t>E. 12</w:t>
      </w:r>
    </w:p>
    <w:p>
      <w:r>
        <w:t>Le recourant, qui succombe, supportera les frais envers l'État, qui comprendront un émolument de CHF 900.- (art. 428 al. 1 CPP et 13 al. 1 du Règlement fixant le tarif des frais en matière pénale, RTFMP ; E 4 10.03). * * * * *</w:t>
      </w:r>
    </w:p>
    <w:p>
      <w:r>
        <w:t>- 14/15 - P/9298/2014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