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ACPR/870/2021 vom 10. November 2021</w:t>
      </w:r>
    </w:p>
    <w:p>
      <w:r>
        <w:t>GE Cour de justice, 2021-11-10, FR</w:t>
      </w:r>
    </w:p>
    <w:p>
      <w:r>
        <w:rPr>
          <w:b/>
        </w:rPr>
        <w:t xml:space="preserve">Quelle: </w:t>
      </w:r>
      <w:r>
        <w:t>https://mcp.opencaselaw.ch/entscheid/ge_gerichte_ACPR_870_2021</w:t>
      </w:r>
    </w:p>
    <w:p>
      <w:r>
        <w:t>FR: GE_GERICHTE ACPR/870/2021 du 10 novembre 2021</w:t>
      </w:r>
    </w:p>
    <w:p>
      <w:r>
        <w:t>IT: GE_GERICHTE ACPR/870/2021 del 10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demande à être entendu oralement par la Chambre de céans, semble oublier que le recours fait l'objet d'une procédure écrite (art. 397 al. 1 CPP), les débats ayant une nature potestative (art. 390 al. 5 CPP). Par ailleurs, l'art. 29 al. 2 Cst. ne confère pas le droit d'être entendu oralement (ATF 134 I 140 consid. 5.3 p. 148 et les références citées).</w:t>
      </w:r>
    </w:p>
    <w:p>
      <w:r>
        <w:rPr>
          <w:b/>
        </w:rPr>
        <w:t>E. 3</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 étant relevé que</w:t>
      </w:r>
    </w:p>
    <w:p>
      <w:r>
        <w:t>- 10/15 - P/24672/2020 quand bien même la vie de la plaignante n'aurait pas été mise en danger le 8 octobre 2021, les charges demeurent suffisantes et graves au vu des diverses lésions subies.</w:t>
      </w:r>
    </w:p>
    <w:p>
      <w:r>
        <w:rPr>
          <w:b/>
        </w:rPr>
        <w:t>E. 4</w:t>
      </w:r>
    </w:p>
    <w:p>
      <w:r>
        <w:t>C'est en vain que le recourant conteste tout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deux des témoins dont l'audition est requise auraient assisté à des actes de violence intervenus dans les jours précédant les faits du 8 octobre 2021. Il existe donc un risque concret et important, au vu des dénégations du prévenu sur les faits les plus graves et de son discours rassurant aux autorités, plusieurs mois durant, sur sa capacité à gérer sa frustration, qu'il ne contacte ces personnes – dont les coordonnées figurent à la procédure – pour tenter de les influencer afin qu'elles livrent une version qui lui soit favorable. Que le recourant soit persuadé que les témoins livreront un témoignage en sa faveur ne change rien à la nécessité qu'ils s'expriment en dehors de toute influence. Il existe aussi, et surtout, un risque de collusion très important à l'égard de la plaignante, sous la forme de pressions, dans le but qu'elle atténue ses accusations, voire retire ses plaintes. Ce risque est d'autant plus dirimant que la plaignante a déclaré, lors de l'audience de confrontation du 4 novembre 2021, qu'elle vivait mal l'incarcération de son époux. Elle pourrait, sous la pression, être amenée à modifier ses déclarations.</w:t>
      </w:r>
    </w:p>
    <w:p>
      <w:r>
        <w:rPr>
          <w:b/>
        </w:rPr>
        <w:t>E. 5</w:t>
      </w:r>
    </w:p>
    <w:p>
      <w:r>
        <w:t>C'est à tort également que le recourant invoque l'absence de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w:t>
      </w:r>
    </w:p>
    <w:p>
      <w:r>
        <w:t>- 11/15 - P/24672/2020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Il peut s'agir de tout crime, au sens de l'art. 10 al. 2 CP, ou de délits graves ("Verbrechen oder schwere Vergehen", ATF 137 IV 84 consid. 3.2 p. 86 ; DCPR/205/2011 du 9 août 2011). Lorsqu'il s'agit de délits de violence graves ou de délits sexuels, la jurisprudence se montre moins stricte dans l'exigence de la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5.2</w:t>
      </w:r>
    </w:p>
    <w:p>
      <w:r>
        <w:t>En l'occurrence, malgré sa relaxe en décembre 2020 à la faveur de mesures de substitution, le recourant n'a eu de cesse de s'en prendre physiquement à son épouse, ce qu'il ne conteste d'ailleurs pas mais minimise, estimant n'avoir eu que des gestes mesurés en réaction à des attitudes incorrectes de sa part à elle. Il ressort toutefois des rapports adressés par le SPI au Ministère public entre janvier et avril 2021 que le recourant souffrirait de pathologies psychiatriques lourdes, qui n'ont en l'état pas été investiguées. Tant le SPI que le psychologue traitant du prévenu ont fait part, à plusieurs reprises, de leur inquiétude en lien avec un risque de "réponse violente" dans le contexte d'une relation de couple dysfonctionnelle. Après la levée des mesures de substitution, en avril 2021, l'épouse du recourant a déposé plainte pénale à deux reprises pour des violences physiques, le 6 juillet et le 28 août 2021, avant les faits qui ont conduit à l'incarcération. Il s'ensuit un risque concret et très élevé que le recourant, s'il venait à être remis en liberté, ne s'en prenne à nouveau à son épouse. Ni la procédure de mesures protectrices de l'union conjugale entamée par celle-ci, ni les mesures d'éloignement ne sont, à l'évidence, aptes à empêcher le recourant d'agir, comme il l'a d'ailleurs démontré, ce d'autant qu'il persiste à considérer être en mesure de reconquérir sa femme. Le fait que son épouse ait quitté la Suisse quelques semaines ne joue aucun rôle, puisqu'il s'agit d'une absence provisoire. L'éloignement des lieux de résidence non plus, puisque même lorsqu'il résidait en France, le recourant faisait irruption dans l'appartement de Genève. En outre, les deux condamnations prononcées contre le recourant, en 2012 et 2015, pour des infractions</w:t>
      </w:r>
    </w:p>
    <w:p>
      <w:r>
        <w:t>- 12/15 - P/24672/2020 d'ordre sexuel contre des patientes constituent aussi des éléments de nature à faire douter de sa capacité à respecter l'intégrité d'autrui.</w:t>
      </w:r>
    </w:p>
    <w:p>
      <w:r>
        <w:rPr>
          <w:b/>
        </w:rPr>
        <w:t>E. 6</w:t>
      </w:r>
    </w:p>
    <w:p>
      <w:r>
        <w:t>Le recourant propose des mesures de substitution en lieu et place de la détention.</w:t>
      </w:r>
    </w:p>
    <w:p>
      <w:r>
        <w:rPr>
          <w:b/>
        </w:rPr>
        <w:t>E. 6.1</w:t>
      </w:r>
    </w:p>
    <w:p>
      <w:r>
        <w:t>L'art. 237 al. 1 CPP prévoit que le tribunal compétent ordonne une ou plusieurs mesures moins sévères en lieu et place de la détention si ces mesures permettent d'atteindre le même but que la détention, par exemple l'obligation de se soumettre à un traitement médical ou à des contrôles (let. f) ou l'interdiction d'entretenir des relations avec certaines personnes (let. g). La liste des mesures de substitution énoncée à l'art. 237 CPP n'est pas exhaustive.</w:t>
      </w:r>
    </w:p>
    <w:p>
      <w:r>
        <w:rPr>
          <w:b/>
        </w:rPr>
        <w:t>E. 6.2</w:t>
      </w:r>
    </w:p>
    <w:p>
      <w:r>
        <w:t>En l'occurrence, les mesures proposées par le recourant visent toutes un potentiel risque de fuite, non retenu ici. Il évoque le prononcé de mesures "efficaces" pour éviter tout contact avec son épouse, mais on ignore lesquelles. En tout état, en décembre 2020, le recourant n'a pas respecté l'interdiction de contact imposée par le TMC pour la période du 16 décembre 2020 au 4 janvier 2021, de sorte qu'on ne voit pas pourquoi il en irait différemment ici, à plus forte raison si la durée devait être plus longue. Une interdiction d'approcher la plaignante paraît également vaine, puisqu'il n'a pas respecté celle ordonnée par le juge civil. Quant à l'éventuelle astreinte à un traitement – au demeurant non suggérée –, celle ordonnée en décembre 2020 n'a pas permis d'éviter la survenance de nouvelles violences. Les pathologies psychiatriques lourdes évoquées par le psychologue invitent plutôt à investiguer la personnalité du recourant avant, le cas échéant, de prononcer un traitement adapté à ses éventuels troubles.</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compte tenu de la peine menace et de la peine concrètement encourue, au vu des antécédents du prévenu, pour les infractions reprochées, si elles devaient se concrétiser – même en l'absence éventuelle d'une mise en danger concrète de la vie –, la détention provisoire ordonnée à ce jour, soit trois mois au total, ne viole pas le principe de la proportionnalité.</w:t>
      </w:r>
    </w:p>
    <w:p>
      <w:r>
        <w:t>- 13/15 - P/24672/2020 Au demeurant, les besoins de l'instruction justifient la prolongation accordée par le TMC, en vue de l'audition des témoins, des actes d'enquête requis et pour investiguer la personnalité du recourant sur la base des éventuelles précédentes expertises psychiatriques, voire ordonner une nouvelle expertise.</w:t>
      </w:r>
    </w:p>
    <w:p>
      <w:r>
        <w:rPr>
          <w:b/>
        </w:rPr>
        <w:t>E. 8</w:t>
      </w:r>
    </w:p>
    <w:p>
      <w:r>
        <w:t>Le recours s'avère ainsi infondé et doit être rejeté.</w:t>
      </w:r>
    </w:p>
    <w:p>
      <w:r>
        <w:rPr>
          <w:b/>
        </w:rPr>
        <w:t>E. 9</w:t>
      </w:r>
    </w:p>
    <w:p>
      <w:r>
        <w:t>Le recourant, qui succombe, supportera les frais envers l'État, fixés en totalité à CHF 900.-, y compris un émolument de décision (art. 428 al. 1 CPP et 13 al. 1 du Règlement fixant le tarif des frais en matière pénale, RTFMP ; E 4 10.03).</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10.2</w:t>
      </w:r>
    </w:p>
    <w:p>
      <w:r>
        <w:t>En l'occurrence, les chances de succès d'un recours, compte tenu des circonstances sus-évoquées, étaient quasi nulles. L'indemnité du défenseur d'office sera toutefois admise, mais limitée à CHF 850.- TTC pour le recours et la réplique, compte tenu des inutiles répétitions et de l'absence de toute pertinence de plusieurs arguments (comme la demande d'audition et les mesures de substitution pour un risque non retenu par l'ordonnance querellée). * * * * *</w:t>
      </w:r>
    </w:p>
    <w:p>
      <w:r>
        <w:t>- 14/15 - P/24672/2020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