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ACPR/869/2024 vom 17. September 2024</w:t>
      </w:r>
    </w:p>
    <w:p>
      <w:r>
        <w:t>GE Cour de justice, 2024-09-17, FR</w:t>
      </w:r>
    </w:p>
    <w:p>
      <w:r>
        <w:rPr>
          <w:b/>
        </w:rPr>
        <w:t xml:space="preserve">Quelle: </w:t>
      </w:r>
      <w:r>
        <w:t>https://mcp.opencaselaw.ch/entscheid/ge_gerichte_ACPR_869_2024</w:t>
      </w:r>
    </w:p>
    <w:p>
      <w:r>
        <w:t>FR: GE_GERICHTE ACPR/869/2024 du 17 septembre 2024</w:t>
      </w:r>
    </w:p>
    <w:p>
      <w:r>
        <w:t>IT: GE_GERICHTE ACPR/869/2024 del 17 settembre 2024</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3.1</w:t>
      </w:r>
    </w:p>
    <w:p>
      <w:r>
        <w:t>En cas de refus d'entrer en matière, le prévenu peut prétendre à l'octroi de dépens au sens de l'art. 429 al. 1 let. a CPP (ATF 139 IV 241 consid. 1).</w:t>
      </w:r>
    </w:p>
    <w:p>
      <w:r>
        <w:rPr>
          <w:b/>
        </w:rPr>
        <w:t>E. 3.2</w:t>
      </w:r>
    </w:p>
    <w:p>
      <w:r>
        <w:t>L'indemnité concerne les dépenses du prévenu pour un avocat de choix (ATF 138 IV 205 consid. 1). Elle couvre en particulier les honoraires de ce conseil, à condition que le recours à celui-ci procède d'un exercice raisonnable des droits de procédure. Selon le message du Conseil fédéral, l'État ne prend en charge les frais de défense que si l'assistance d'un avocat était nécessaire compte tenu de la complexité de l'affaire en fait ou en droit et que le volume de travail et donc les honoraires étaient ainsi justifiés (Message du 21 décembre 2005 relatif à l'unification du droit de la procédure pénale, FF 2006 1313 ch. 2.10.3.1).</w:t>
      </w:r>
    </w:p>
    <w:p>
      <w:r>
        <w:t>- 5/9 - P/12213/2023 Lors de la fixation de l'indemnité,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3.3</w:t>
      </w:r>
    </w:p>
    <w:p>
      <w:r>
        <w:t>Les honoraires d'avocat se calculent selon le tarif usuel du barreau applicable dans le canton où la procédure se déroule (ATF 142 IV 163 consid 3.1 p. 165 ss). À Genève, la Cour de justice retient un tarif horaire de CHF 450.- pour un chef d'étude, lorsque ce conseil chiffre sa rémunération à ce taux, CHF 350.- pour un collaborateur et CHF 150.- pour un avocat stagiaire (ACPR/223/2022 du 31 mars 2022 consid. 2.1 et les références citées).</w:t>
      </w:r>
    </w:p>
    <w:p>
      <w:r>
        <w:rPr>
          <w:b/>
        </w:rPr>
        <w:t>E. 3.4</w:t>
      </w:r>
    </w:p>
    <w:p>
      <w:r>
        <w:t>Le temps consacré aux déplacements n'est pas taxé de la même manière que le temps consacré à l'étude du dossier (ATF 142 IV 163 consid. 3.1.3 p 169).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a dû combler cette lacune (ACPR/8/2016 du 13 janvier 2016 consid. 2.2 et la référence citée). Il apparaît justifié de considérer que la rémunération du seul déplacement doit être réduite de 50% par rapport à la rémunération des prestations intellectuelles relevant du mandat stricto sensu.</w:t>
      </w:r>
    </w:p>
    <w:p>
      <w:r>
        <w:rPr>
          <w:b/>
        </w:rPr>
        <w:t>E. 3.5</w:t>
      </w:r>
    </w:p>
    <w:p>
      <w:r>
        <w:t>L'interdiction de la reformatio in pejus, consacrée par l'art. 391 al. 2 CPP, prohibe la pénalisation de la situation d'une partie par une décision défavorable rendue à la suite d'un recours émanant uniquement de celle-ci (arrêt du Tribunal fédéral 6B_875/2013 du 7 avril 2014 consid. 3.2.). L'interdiction de la reformatio in pejus s'attache au dispositif de la décision (ATF 142 IV 129 consid. 4.5; arrêt du Tribunal fédéral 6B_460/2017 du 12 février 2018 consid. 2.1).</w:t>
      </w:r>
    </w:p>
    <w:p>
      <w:r>
        <w:rPr>
          <w:b/>
        </w:rPr>
        <w:t>E. 3.6</w:t>
      </w:r>
    </w:p>
    <w:p>
      <w:r>
        <w:t>En l'espèce, le recourant reproche au Ministère public d'avoir considéré que l'indemnité réclamée pour les honoraires de son avocat était excessive. Bien que le recourant se soit vu reprocher la commission de lésions corporelles par négligence, un délit (en regard de la peine menace prévu par l'art. 125 CP cum</w:t>
      </w:r>
    </w:p>
    <w:p>
      <w:r>
        <w:t>- 6/9 - P/12213/2023 10 al. 3 CP), soit une infraction d'une certaine gravité, la procédure a consisté, pour lui, à une seule audition par-devant la police, en qualité de prévenu. L'affaire ne présentait, au stade de cette audition, pas de complexité particulière. Le recourant devait être entendu sur des faits clairement circonscrits et son rôle se limitait, à ce stade de la procédure, à répondre aux questions posées par la police, pour lesquelles aucune connaissance juridique n'était nécessaire. Dans ces circonstances, une indemnisation correspondant à cette audition, ainsi qu'à une heure de conférence avec son conseil, apparaît raisonnable. Par ailleurs, il est relevé que le Ministère public a indemnisé au plein tarif le déplacement à cette audition, alors que la jurisprudence éprouvée retient une rémunération inférieure pour ce genre d'activité. Cela étant, conformément au principe de la reformatio in pejus, l'intégralité du montant octroyé est acquis au recourant. Il en va de même de l'indemnité d'une heure pour les frais de recours allouée par la décision querellée, l'activité déployée par l'avocat pour le recours déposé le 5 août 2024 ayant déjà été indemnisée aux tarifs demandés dans l'arrêt du 3 octobre 2024 (ACPR/709/2024). Partant, l'indemnité fixée par le Ministère public sera confirmée.</w:t>
      </w:r>
    </w:p>
    <w:p>
      <w:r>
        <w:rPr>
          <w:b/>
        </w:rPr>
        <w:t>E. 4.1</w:t>
      </w:r>
    </w:p>
    <w:p>
      <w:r>
        <w:t>Selon l'art. 429 al. 1 let. b CPP, le prévenu au bénéfice d'une ordonnance de classement a le droit d'obtenir une indemnité pour le dommage économique subi au titre de sa participation obligatoire à la procédure pénale. Cette disposition vise essentiellement des pertes de salaires et de gains liées à l'impossibilité de réaliser une activité lucrative en raison du temps consacré à la participation aux audiences ou d'une mise en détention avant jugement. Elle concerne également l'éventuelle atteinte à l'avenir économique consécutive à la procédure, de même que les autres frais liés à la procédure, comme les frais de déplacement ou de logement (arrêts du Tribunal fédéral 6B_814/2017 du 9 mars 2018 consid. 1.1.1; 6B_928/2014 du 10 mars 2016 consid. 4.1.1 non publié aux ATF 142 IV 163 et les références citées). En revanche, les dépenses privées et les pertes de temps, par exemple pour l'étude du dossier, ne sont en règle générale pas indemnisées. Il n'est pas nécessaire que le préjudice économique du prévenu puisse être rapporté à un acte de procédure déterminé (ATF 142 IV 237 consid. 1.3.3). Il appartient au lésé de prouver non seulement l'existence et l'étendue du dommage, mais aussi le lien de causalité entre celui-ci et l'événement à la base de son action (arrêts du Tribunal fédéral 6B_118/2016 du 20 mars 2017 consid. 5.1; 6B_1026/2013 du 10 juin 2014 consid. 3.1).</w:t>
      </w:r>
    </w:p>
    <w:p>
      <w:r>
        <w:t>- 7/9 - P/12213/2023</w:t>
      </w:r>
    </w:p>
    <w:p>
      <w:r>
        <w:rPr>
          <w:b/>
        </w:rPr>
        <w:t>E. 4.2</w:t>
      </w:r>
    </w:p>
    <w:p>
      <w:r>
        <w:t>En l'occurrence, le mis en cause prétend avoir subi un dommage économique pour les heures consacrées à la procédure pénale. Conformément à la jurisprudence précitée, le temps consacré à l'étude du dossier et aux divers courriels échangés avec son avocat ne saurait être indemnisé. Pour le surplus, les autres heures alléguées – audition à la police, préparation avec son conseil et les déplacements y afférents – pourraient constituer un empêchement propre à provoquer une perte de gain et devraient en principe être prises en considération. Cela étant, il appartient au recourant de démontrer la réalité de ladite perte. Or, l'intéressé, médecin indépendant, se contente de chiffrer un montant correspondant à huit heures, basé sur un tarif horaire de CHF 450.-. Sans autre précision quant aux heures alléguées, le recourant échoue à démontrer qu'elles auraient interféré avec son activité professionnelle, en particulier, qu'il aurait, en raison de celles-ci, dû refuser de la patientèle. Il ne produit pas non plus un quelconque élément relatif à ses horaires de travail, étant précisé que son audition à la police a eu lieu après 17h30. Par ailleurs, la Chambre de céans n'est pas en mesure de juger du réalisme du tarif horaire avancé, faute d'un quelconque élément objectif probant au dossier y relatif. Dans ces circonstances, les prétentions du recourant fondées sur l'art. 429 al. 1 let. b CPP seront écartées.</w:t>
      </w:r>
    </w:p>
    <w:p>
      <w:r>
        <w:rPr>
          <w:b/>
        </w:rPr>
        <w:t>E. 5</w:t>
      </w:r>
    </w:p>
    <w:p>
      <w:r>
        <w:t>Justifiée, l'ordonnance querellée sera confirmée et le recours rejeté.</w:t>
      </w:r>
    </w:p>
    <w:p>
      <w:r>
        <w:rPr>
          <w:b/>
        </w:rPr>
        <w:t>E. 6</w:t>
      </w:r>
    </w:p>
    <w:p>
      <w:r>
        <w:t>Le recourant, qui succombe, supportera les frais envers l'État, fixés en totalité à CHF 1'000.- (art. 428 al. 1 CPP et 13 al. 1 du Règlement fixant le tarif des frais en matière pénale, RTFMP ; E 4 10.03). * * * * *</w:t>
      </w:r>
    </w:p>
    <w:p>
      <w:r>
        <w:t>- 8/9 - P/12213/2023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