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ACPR/869/2020 vom 9. September 2020</w:t>
      </w:r>
    </w:p>
    <w:p>
      <w:r>
        <w:t>GE Cour de justice, 2020-09-09, FR</w:t>
      </w:r>
    </w:p>
    <w:p>
      <w:r>
        <w:rPr>
          <w:b/>
        </w:rPr>
        <w:t xml:space="preserve">Quelle: </w:t>
      </w:r>
      <w:r>
        <w:t>https://mcp.opencaselaw.ch/entscheid/ge_gerichte_ACPR_869_2020</w:t>
      </w:r>
    </w:p>
    <w:p>
      <w:r>
        <w:t>FR: GE_GERICHTE ACPR/869/2020 du 9 septembre 2020</w:t>
      </w:r>
    </w:p>
    <w:p>
      <w:r>
        <w:t>IT: GE_GERICHTE ACPR/869/2020 del 9 settembre 2020</w:t>
      </w:r>
    </w:p>
    <w:p>
      <w:pPr>
        <w:pStyle w:val="Heading2"/>
      </w:pPr>
      <w:r>
        <w:t>Erwägungen</w:t>
      </w:r>
    </w:p>
    <w:p>
      <w:r>
        <w:rPr>
          <w:b/>
        </w:rPr>
        <w:t>E. 1</w:t>
      </w:r>
    </w:p>
    <w:p>
      <w:r>
        <w:t>Le recours est recevable pour avoir été déposé selon la forme et dans le délai prescrits (art. 385 al. 1 et 396 al. 1 CPP), concerner un aspect d’une ordonnance sujette à recours auprès de la Chambre de céans (art. 393 al. 1 let. a CPP) et émaner tant du prévenu (art. 104 al. 1 let. a CPP) que du tiers saisi (art. 105 al. 1 let. f CPP), qui, parties à la procédure, ont qualité pour agir, ayant un intérêt juridiquement protégé à la modification ou à l'annulation de la décision querellée (art. 382 al. 1 CPP).</w:t>
      </w:r>
    </w:p>
    <w:p>
      <w:r>
        <w:rPr>
          <w:b/>
        </w:rPr>
        <w:t>E. 2</w:t>
      </w:r>
    </w:p>
    <w:p>
      <w:r>
        <w:t>Les recourants considèrent que le maintien du séquestre litigieux, nonobstant le classement prononcé le 9 septembre 2020, contrevient à l'art. 320 al. 2 CPP.</w:t>
      </w:r>
    </w:p>
    <w:p>
      <w:r>
        <w:rPr>
          <w:b/>
        </w:rPr>
        <w:t>E. 2.1</w:t>
      </w:r>
    </w:p>
    <w:p>
      <w:r>
        <w:t>Lorsqu'il classe la poursuite, le ministère public lève dans l'ordonnance de classement les mesures de contrainte en vigueur et peut ordonner la confiscation d'objets (art. 320 al. 2 CPP). Nonobstant la formulation potestative de cette seconde phrase, le ministère public doit ordonner la confiscation à l'occasion du classement, si les conditions en sont remplies : il n'a pas à engager de procédure indépendante au sens des art. 376 ss. CPP (ATF 142 IV 383 consid. 2.1; N. SCHMID / D. JOSITSCH, Schweizerische Strafprozessordnung : Praxiskommentar, 3e éd., Zurich 2018, n. 11 ad art. 320).</w:t>
      </w:r>
    </w:p>
    <w:p>
      <w:r>
        <w:rPr>
          <w:b/>
        </w:rPr>
        <w:t>E. 2.2</w:t>
      </w:r>
    </w:p>
    <w:p>
      <w:r>
        <w:t>Une mesure de séquestre est en principe proportionnée du simple fait qu'elle porte sur des valeurs dont on peut vraisemblablement admettre qu'elles pourront être confisquées en application du droit pénal (art. 70 et 71 CP). Tant que l'instruction n'est pas achevée et que subsiste une probabilité de confiscation, de créance compensatrice ou d'une allocation au lésé, la mesure conservatoire doit être maintenue (ATF 141 IV 360 consid. 3.2 p. 364).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w:t>
      </w:r>
    </w:p>
    <w:p>
      <w:r>
        <w:rPr>
          <w:b/>
        </w:rPr>
        <w:t>E. 2.3</w:t>
      </w:r>
    </w:p>
    <w:p>
      <w:r>
        <w:t>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(ATF 139 IV 209 consid. 5.3 p. 211 s. et les arrêts cités).</w:t>
      </w:r>
    </w:p>
    <w:p>
      <w:r>
        <w:rPr>
          <w:b/>
        </w:rPr>
        <w:t>E. 2.4</w:t>
      </w:r>
    </w:p>
    <w:p>
      <w:r>
        <w:t>L'art. 70 al. 2 CP précise que la confiscation n'est pas prononcée lorsqu'un tiers a acquis les valeurs dans l'ignorance des faits qui l'auraient justifiée, et cela dans la</w:t>
      </w:r>
    </w:p>
    <w:p>
      <w:r>
        <w:t>- 8/10 - P/3755/2016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(ATF 115 IV 175 consid. 2b/bb p. 178; arrêt du Tribunal fédéral 1B_3/2014 du 5 février 2014 consid. 3.2 in RtiD 2014 II p. 227).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(arrêts du Tribunal fédéral 1B_222/2015 du 10 novembre 2015 consid. 2.1 ; 1B_166/2008 du 17 décembre 2008 consid. 4.3).</w:t>
      </w:r>
    </w:p>
    <w:p>
      <w:r>
        <w:rPr>
          <w:b/>
        </w:rPr>
        <w:t>E. 2.5</w:t>
      </w:r>
    </w:p>
    <w:p>
      <w:r>
        <w:t>S'il est vrai que l'art. 320 al. 2 CPP prescrit de lever dans l'ordonnance de classement les mesures de contrainte en vigueur, il présuppose néanmoins que le motif du séquestre ait disparu (art. 267 CPP), ce qui n'est pas le cas en l'occurrence. En effet, le séquestre litigieux a été prononcé le 16 juin 2017 dans le cadre de l'instruction de faits potentiellement constitutifs d'abus de confiance (art. 138 CP), de gestion déloyale (art. 158 CP) et de faux dans les titres (art. 251 CP) à charge de plusieurs prévenus, dont B______. Certes, le Ministère public a reconnu que ce dernier n'avait pas apporté de contribution causale à la réalisation des infractions notamment reprochées à C______ et, partant, a classé la procédure ouverte contre lui. Cela étant, le prénommé sera, quant à lui, prochainement renvoyé en jugement devant le Tribunal de police, lequel devra établir si la somme de CHF 15'000.- constitue le résultat d'une infraction ou si elle était destinée à décider ou à récompenser l'auteur de cette infraction. Le juge du fond devra, en d'autres termes, déterminer si les fonds séquestrés constituent un avantage illicite et doivent être confisqués en application de l'art. 70 al. 1 CP ou, le cas échéant, examiner si la réserve en faveur du tiers de bonne foi (art. 70 al. 2 CP) doit s’appliquer. À cet égard, le droit de propriété sur la somme saisie est, en l'état, contesté, puisque tant les époux lésés que les recourants, acquéreurs qui arguent de leur bonne foi, le revendiquent. Par conséquent, il apparaît prématuré de lever le séquestre sur la base de l'art. 70 al. 2 CP. Cette mesure conservatoire peut ainsi continuer à subsister et c'est à bon droit que le Ministère public a retenu qu'il appartiendrait au juge du fond de statuer sur son sort dans le jugement final.</w:t>
      </w:r>
    </w:p>
    <w:p>
      <w:r>
        <w:rPr>
          <w:b/>
        </w:rPr>
        <w:t>E. 3</w:t>
      </w:r>
    </w:p>
    <w:p>
      <w:r>
        <w:t>Justifiée, l'ordonnance querellée sera donc confirmée.</w:t>
      </w:r>
    </w:p>
    <w:p>
      <w:r>
        <w:rPr>
          <w:b/>
        </w:rPr>
        <w:t>E. 4</w:t>
      </w:r>
    </w:p>
    <w:p>
      <w:r>
        <w:t>Les recourants, qui succombent, supporteront les frais envers l'État, qui seront fixés en totalité à CHF 1'500.- (art. 428 al. 1 CPP et 13 al. 1 du Règlement fixant le tarif des frais en matière pénale, RTFMP ; E 4 10.03), émolument de décision compris.</w:t>
      </w:r>
    </w:p>
    <w:p>
      <w:r>
        <w:t>- 9/10 - P/3755/2016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