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ACPR/866/2023 vom 6. September 2023</w:t>
      </w:r>
    </w:p>
    <w:p>
      <w:r>
        <w:t>GE Cour de justice, 2023-09-06, FR</w:t>
      </w:r>
    </w:p>
    <w:p>
      <w:r>
        <w:rPr>
          <w:b/>
        </w:rPr>
        <w:t xml:space="preserve">Quelle: </w:t>
      </w:r>
      <w:r>
        <w:t>https://mcp.opencaselaw.ch/entscheid/ge_gerichte_ACPR_866_2023</w:t>
      </w:r>
    </w:p>
    <w:p>
      <w:r>
        <w:t>FR: GE_GERICHTE ACPR/866/2023 du 6 septembre 2023</w:t>
      </w:r>
    </w:p>
    <w:p>
      <w:r>
        <w:t>IT: GE_GERICHTE ACPR/866/2023 del 6 settembre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w:t>
      </w:r>
    </w:p>
    <w:p>
      <w:r>
        <w:t>- 3/6 - P/19297/2023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n'être pas entré en matière sur sa plainte. 3.1.1.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 3.1.2. À teneur de l'ancien art. 214 ch. 1 CP, le conjoint qui aura commis l'adultère et son complice sont, sur plainte du conjoint outragé, punis de l'emprisonnement ou de l'amende si le divorce ou la séparation de corps a été prononcé à raison de cet adultère.</w:t>
      </w:r>
    </w:p>
    <w:p>
      <w:r>
        <w:t>- 4/6 - P/19297/2023 Cette disposition, qui punissait l'adultère à certaines conditions, a été abrogée au 1er janvier 1990. À l'époque, il avait été considéré qu'elle n'avait plus d'utilité sur le plan de la politique criminelle : les conceptions modernes n'admettaient plus de norme pénale pour l'adultère et les dispositions de droit civil sur la séparation et le divorce, ainsi que leurs effets accessoires, étaient suffisantes pour permettre au conjoint effectivement trompé d'obtenir réparation (Message concernant la modification du code pénal et du code pénal militaire du 26 juin 1985, FF 1985 II 1021, pp. 1066-1067). À l'heure actuelle, les art. 256 ss CC régissent l'action en désaveu de paternité. Lorsque le lien de filiation juridique avec le père inscrit à l'état civil est supprimé par l'action en désaveu, l'obligation d'entretien de celui-ci tombe, avec effet rétroactif au moment où elle a pris naissance ; parallèlement, le lien de filiation juridique avec le père biologique qui a reconnu l'enfant rétroagit au jour de la naissance. Il en résulte que le père inscrit à l'état civil a une prétention en enrichissement illégitime contre le père biologique (cf. ATF 126 III 646).</w:t>
      </w:r>
    </w:p>
    <w:p>
      <w:r>
        <w:rPr>
          <w:b/>
        </w:rPr>
        <w:t>E. 3.2</w:t>
      </w:r>
    </w:p>
    <w:p>
      <w:r>
        <w:t>En l'espèce, les faits dénoncés par le recourant – pour autant qu'ils soient établis – ne constituent pas un comportement répréhensible sur le plan pénal. Si, antérieurement à 1990, l'adultère était, à certaines conditions, réprimé par le droit pénal, tel n'est plus le cas. En outre, les éventuelles conséquences du désaveu entre le père inscrit à l'état civil et le père biologique sont régies par le droit civil, en particulier les dispositions sur l'enrichissement illégitime (cf. art. 62 ss CO), de sorte que le litige est de nature exclusivement civile. C'est par conséquent conformément à l'art. 310 al. 1 let. a CPP que le Ministère public a refusé d'entrer en matière sur la plainte du 29 août 2023 du recourant.</w:t>
      </w:r>
    </w:p>
    <w:p>
      <w:r>
        <w:rPr>
          <w:b/>
        </w:rPr>
        <w:t>E. 4</w:t>
      </w:r>
    </w:p>
    <w:p>
      <w:r>
        <w:t>Justifiée, l'ordonnance querellée sera donc confirmée.</w:t>
      </w:r>
    </w:p>
    <w:p>
      <w:r>
        <w:rPr>
          <w:b/>
        </w:rPr>
        <w:t>E. 5</w:t>
      </w:r>
    </w:p>
    <w:p>
      <w:r>
        <w:t>Le recourant, qui succombe, supportera les frais envers l'État, fixés à CHF 500.- pour l'instance de recours (art. 428 al. 1 CPP et 13 al. 1 du Règlement fixant le tarif des frais en matière pénale, RTFMP ; E 4 10.03). * * * * *</w:t>
      </w:r>
    </w:p>
    <w:p>
      <w:r>
        <w:t>- 5/6 - P/19297/2023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