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ACPR/864/2022 vom 12. April 2022</w:t>
      </w:r>
    </w:p>
    <w:p>
      <w:r>
        <w:t>GE Cour de justice, 2022-04-12, FR</w:t>
      </w:r>
    </w:p>
    <w:p>
      <w:r>
        <w:rPr>
          <w:b/>
        </w:rPr>
        <w:t xml:space="preserve">Quelle: </w:t>
      </w:r>
      <w:r>
        <w:t>https://mcp.opencaselaw.ch/entscheid/ge_gerichte_ACPR_864_2022</w:t>
      </w:r>
    </w:p>
    <w:p>
      <w:r>
        <w:t>FR: GE_GERICHTE ACPR/864/2022 du 12 avril 2022</w:t>
      </w:r>
    </w:p>
    <w:p>
      <w:r>
        <w:t>IT: GE_GERICHTE ACPR/864/2022 del 12 aprile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En revanche,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la conclusion du recourant visant à obtenir une "enquête effective", soit l'ouverture d'une instruction, englobe sa conclusion constatatoire en violation de la CEDH, celle-ci n'est pas recevable.</w:t>
      </w:r>
    </w:p>
    <w:p>
      <w:r>
        <w:t>- 8/15 - P/12318/2020 À titre superfétatoire, il est encore précisé qu'une instruction n'ayant jamais été formellement ouverte, le prévenu n'était pas fondé à consulter le dossier de la procédure avant le prononcé de la non-entrée en matière (cf. arrêt du Tribunal fédéral 6B_1385/2019 du 27 février 2020 consid. 1.1 et la référence citée).</w:t>
      </w:r>
    </w:p>
    <w:p>
      <w:r>
        <w:rPr>
          <w:b/>
        </w:rPr>
        <w:t>E. 1.3</w:t>
      </w:r>
    </w:p>
    <w:p>
      <w:r>
        <w:t>En outre, le recourant conteste pour la première fois dans sa réplique la force probante du rapport de renseignements du 7 octobre 2020 au motif qu'il en existait un semblable, daté du 29 juillet 2020 mais non signé. Or, le droit de réplique sert à déposer des observations au sujet d'une prise de position ou d'une pièce nouvellement versée au dossier (cf. ATF 137 I 195 consid. 2 p. 197 s.), mais n'a pas vocation à permettre à la partie qui saisit le juge de pallier une argumentation défaillante ou de compléter son acte (ATF 143 II 283 consid. 1.2.3 p. 286; arrêt du Tribunal fédéral 1C_752/2021 du 19 mai 2022 consid. 2.2.), p. ex. par des griefs qui auraient déjà pu figurer dans l'acte de recours (arrêt du Tribunal fédéral 1C_575/2019 du 1er mars 2022 consid. 2.4.). La réplique a essentiellement pour but de répondre à d'éventuels nouveaux arguments formulés dans la réponse d'une autre partie à la procédure (ATF 135 I 19 consid. 2.2 p. 197 s.). Tel n'est pas le cas en l'occurrence puisque l'acte de recours faisait déjà mention de ce premier rapport de renseignements. Par conséquent, ce moyen n'est pas recevable. L'eût-il été que de toute manière, l'argumentation développée à ce sujet tomberait à faux. Le contenu des deux rapports en question est substantiellement le même en lien avec les faits en amont de l'interpellation du recourant. Quant à la description de celle-ci, le second rapport chronologique – remis en cause par le recourant – est plus détaillé que le premier. Aucun élément ne permet donc d'élever des doutes sur l'impartialité et l'indépendance de l'auteur et des informations contenues. L'IGS n'en formule d'ailleurs aucun. Partant, le rapport du 7 octobre 2020, signifié au Ministère public, demeure le seul pertinent.</w:t>
      </w:r>
    </w:p>
    <w:p>
      <w:r>
        <w:rPr>
          <w:b/>
        </w:rPr>
        <w:t>E. 2</w:t>
      </w:r>
    </w:p>
    <w:p>
      <w:r>
        <w:t>Le recourant invoque une constatation incomplète – voire arbitraire – des faits.</w:t>
      </w:r>
    </w:p>
    <w:p>
      <w:r>
        <w:rPr>
          <w:b/>
        </w:rPr>
        <w:t>E. 2.1</w:t>
      </w:r>
    </w:p>
    <w:p>
      <w:r>
        <w:t>La Chambre de céans revoit avec un plein pouvoir de cognition, en fait notamment, les points de la décision attaqués devant elle (art. 393 al. 2 et 385 al. 1 let. a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w:t>
      </w:r>
    </w:p>
    <w:p>
      <w:r>
        <w:t>- 9/15 - P/12318/2020 suisse, 2ème éd., Bâle 2019, n. 17 ad art. 393 ; ACPR/609/2015 du 11 novembre 2015 consid. 3.1.1).</w:t>
      </w:r>
    </w:p>
    <w:p>
      <w:r>
        <w:rPr>
          <w:b/>
        </w:rPr>
        <w:t>E. 2.2</w:t>
      </w:r>
    </w:p>
    <w:p>
      <w:r>
        <w:t>En l'espèce, le Ministère public retient dans son ordonnance le déroulement factuel jusqu'au moment de l'interpellation du recourant tel qu'il ressort du rapport de renseignements 7 octobre 2020 et de la procédure P/1______/2020. À savoir, en résumé, que dans le cadre de la "Critical Mass", le précité a refusé d'obtempérer à au moins deux injonctions univoques de la police lui ordonnant de s'arrêter et tenté de fuir, sur son vélo, en commettant diverses infractions à la LCR. De son côté, le recourant ne conteste pas ces circonstances et n'y revient pas dans son mémoire, ni dans sa réplique. À teneur de son audition du 8 septembre 2020, il admet même avoir été poursuivi par un fourgon de la police, réfutant uniquement l'usage d'avertisseurs sonores et lumineux par le véhicule. Il a d'ailleurs été condamné pour ces faits par le Tribunal de police, dont le jugement est entré en force à la suite du retrait de son appel (arrêt AARP/257/2022 du 7 septembre 2022). S'agissant de l'interpellation du recourant, le Ministère public a considéré qu'elle était intervenue alors que celui-ci s'apprêtait à "remettre un coup de pédale pour repartir"; ce que l'intéressé nie. Toutefois, dans sa version donnée à la police, il descendait de son vélo au moment d'être bousculé par le mis en cause, alors que selon son recours, il se trouvait "debout sur son vélo, à l'arrêt". Les éléments contextuels précités – non contestés par le recourant – plaident indubitablement pour la version retenue par le Ministère public, laquelle est d'ailleurs étayée par le rapport du 7 octobre 2020 et l'audition du mis en cause, qui a décrit les faits de manière analogue. À l'inverse, la version soutenue par le recourant ne trouve aucune assise probante au dossier et se caractérise même par ses déclarations fluctuantes. L'appréciation du Ministère public sur le déroulement de l'interpellation n'apparaît ainsi pas critiquable, ni – par extension – arbitraire. La même conclusion s'impose s'agissant des prétendues menaces proférées par le mis en cause, matraque à la main. Dans sa plainte, le recourant n'a pas relaté cet épisode, qu'il a mentionné pour la première fois lors de son audition en qualité de PADR. En revanche, ni le rapport du 27 juillet, ni celui du 7 octobre 2020 n'en font état, pas plus que le mis en cause durant son audition. À défaut d'un faisceau d'indices suffisamment probants, il n'y a pas lieu de tenir cet évènement pour établi. Enfin, l'interpellation du recourant découle – sans nul doute possible – de ses nombreuses infractions préalables, que le recourant occulte dans son argumentation, si bien qu'un motif discriminatoire peut être exclu sans hésitation.</w:t>
      </w:r>
    </w:p>
    <w:p>
      <w:r>
        <w:t>- 10/15 - P/12318/2020 Partant, la constatation des faits du Ministère public dans son ordonnance ne prête pas le flanc à la critique. C'est donc à sa lumière qu'il convient d'examiner l'application des art. 123 et 312 CP, étant précisé que pour les motifs développés plus bas, nul n'est besoin d'examiner si le coude faisant l'objet de la photographie jointe à la plainte est bien celui du recourant.</w:t>
      </w:r>
    </w:p>
    <w:p>
      <w:r>
        <w:rPr>
          <w:b/>
        </w:rPr>
        <w:t>E. 3</w:t>
      </w:r>
    </w:p>
    <w:p>
      <w:r>
        <w:t>Le recourant conteste le bien-fondé de la décision attaquée.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p. 3; ATF 103 IV 65 consid. I.2 p. 68).</w:t>
      </w:r>
    </w:p>
    <w:p>
      <w:r>
        <w:rPr>
          <w:b/>
        </w:rPr>
        <w:t>E. 3.3</w:t>
      </w:r>
    </w:p>
    <w:p>
      <w:r>
        <w:t>L'art. 125 CP réprime le comportement de celui qui, par négligence, aura fait subir à une personne une atteinte à l'intégrité corporelle ou à la santé. Elle suppose la</w:t>
      </w:r>
    </w:p>
    <w:p>
      <w:r>
        <w:t>- 11/15 - P/12318/2020 réalisation de trois conditions: une négligence, une atteinte à l'intégrité physique et un lien de causalité naturelle et adéquate entre ces deux éléments.</w:t>
      </w:r>
    </w:p>
    <w:p>
      <w:r>
        <w:rPr>
          <w:b/>
        </w:rPr>
        <w:t>E. 3.4</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p. 211 et b et les arrêts cités; arrêt du Tribunal fédéral 6B_1351/2017 du 18 avril 2018 consid. 4.2). 3.5.1.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p. 212). 3.5.2.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al. 1 CPP,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op. cit., n. 2 et 3 ad art. 200).</w:t>
      </w:r>
    </w:p>
    <w:p>
      <w:r>
        <w:t>- 12/15 - P/12318/2020 3.5.3.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w:t>
      </w:r>
    </w:p>
    <w:p>
      <w:r>
        <w:rPr>
          <w:b/>
        </w:rPr>
        <w:t>E. 3.6</w:t>
      </w:r>
    </w:p>
    <w:p>
      <w:r>
        <w:t>En l'espèce, il est établi (cf. consid. 2 supra) que le recourant a été interpellé après avoir refusé d'obtempérer aux injonctions de la police lui ordonnant de s'arrêter et avoir cherché à fuir. Il n'est également pas contesté que le mis en cause a bousculé le recourant, qui est tombé de son vélo. Au moment d'effectuer ce geste, le premier cherchait à empêcher le second de se soustraire une nouvelle fois à son interpellation et mettre un terme à une course- poursuite au cours de laquelle plusieurs règles de la circulation routière auraient été enfreintes, au péril de la sécurité du recourant, des policiers mais également des passants. À la vue de la photographie jointe à sa plainte, les blessures que le recourant allègue avoir subies en chutant se limitent à des dermabrasions, au niveau du coude. Il ne prétend pas, ni – a fortiori – ne démontre avoir éprouvé des douleurs particulières en raison de ces "égratignures", qui n'ont d'ailleurs nécessité aucun traitement médical. En cela, cette atteinte apparaît comme superficielle et sans gravité. Dès lors, l'acte du mis en cause était nécessaire pour faire cesser le comportement réfractaire et dangereux du recourant. La mesure entreprise n'apparaît pas disproportionnée eu égard au but visé, en comparaison avec l'atteinte prétendument subie par le recourant, laquelle aurait été provoquée, de surcroît, de manière non intentionnelle (art. 125 CP). La comparaison avec l'interpellation de l'autre cycliste, dont le bras a été saisi pour l'empêcher de repartir, ne permet pas d'estimer disproportionnée l'intervention du mis en cause face au recourant. Des facteurs – non établis, ni discutés en l'occurrence – peuvent aisément expliquer que cette manière de procéder s'offrait aux agents face au second cycliste et non pas au mis en cause, dont l'acte apparaît, en tout état, mesuré. Partant, comme retenu par le Ministère public à titre subsidiaire dans son ordonnance, l'éventuelle atteinte à l'intégrité corporelle du recourant par le mis en cause serait rendue licite par l'art. 14 CP, les conditions de cet article étant réalisées. Par identité de motifs, les éléments constitutifs de l'abus d'autorité ne sont pas réunis, le mis en cause ayant agi avec proportionnalité et dans le but – unique – de mettre un terme à la course-poursuite et de pouvoir interpeller le recourant qui venait de commettre plusieurs infractions, sans dessein de nuire à ce dernier.</w:t>
      </w:r>
    </w:p>
    <w:p>
      <w:r>
        <w:t>- 13/15 - P/12318/2020 Il n'existe par conséquent pas de prévention pénale suffisante s'agissant de ces infractions.</w:t>
      </w:r>
    </w:p>
    <w:p>
      <w:r>
        <w:rPr>
          <w:b/>
        </w:rPr>
        <w:t>E. 4</w:t>
      </w:r>
    </w:p>
    <w:p>
      <w:r>
        <w:t>Justifiée, l'ordonnance querellée sera donc confirmée.</w:t>
      </w:r>
    </w:p>
    <w:p>
      <w:r>
        <w:rPr>
          <w:b/>
        </w:rPr>
        <w:t>E. 5</w:t>
      </w:r>
    </w:p>
    <w:p>
      <w:r>
        <w:t>Le recourant sollicite l'octroi de l'assistance judiciaire gratuite.</w:t>
      </w:r>
    </w:p>
    <w:p>
      <w:r>
        <w:rPr>
          <w:b/>
        </w:rPr>
        <w:t>E. 5.1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w:t>
      </w:r>
    </w:p>
    <w:p>
      <w:r>
        <w:rPr>
          <w:b/>
        </w:rPr>
        <w:t>E. 5.2</w:t>
      </w:r>
    </w:p>
    <w:p>
      <w:r>
        <w:t>En l'occurrence, l'indigence du recourant est établie. Néanmoins, compte tenu des motifs susmentionnés, ses griefs étaient infondés et, partant, son recours dénué de chance de succès. Sa requête ne peut dès lors qu'être rejetée. 6. Le recourant,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 * * * * *</w:t>
      </w:r>
    </w:p>
    <w:p>
      <w:r>
        <w:t>- 14/15 - P/12318/2020</w:t>
      </w:r>
    </w:p>
    <w:p>
      <w:r>
        <w:rPr>
          <w:b/>
        </w:rPr>
        <w:t>E. 9</w:t>
      </w:r>
    </w:p>
    <w:p>
      <w:r>
        <w:t>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