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ACPR/862/2019 vom 14. Mai 2019</w:t>
      </w:r>
    </w:p>
    <w:p>
      <w:r>
        <w:t>GE Cour de justice, 2019-05-14, FR</w:t>
      </w:r>
    </w:p>
    <w:p>
      <w:r>
        <w:rPr>
          <w:b/>
        </w:rPr>
        <w:t xml:space="preserve">Quelle: </w:t>
      </w:r>
      <w:r>
        <w:t>https://mcp.opencaselaw.ch/entscheid/ge_gerichte_ACPR_862_2019</w:t>
      </w:r>
    </w:p>
    <w:p>
      <w:r>
        <w:t>FR: GE_GERICHTE ACPR/862/2019 du 14 mai 2019</w:t>
      </w:r>
    </w:p>
    <w:p>
      <w:r>
        <w:t>IT: GE_GERICHTE ACPR/862/2019 del 14 maggio 2019</w:t>
      </w:r>
    </w:p>
    <w:p>
      <w:pPr>
        <w:pStyle w:val="Heading2"/>
      </w:pPr>
      <w:r>
        <w:t>Erwägungen</w:t>
      </w:r>
    </w:p>
    <w:p>
      <w:r>
        <w:rPr>
          <w:b/>
        </w:rPr>
        <w:t>E. 1</w:t>
      </w:r>
    </w:p>
    <w:p>
      <w:r>
        <w:t>Le recours est recevable pour avoir été déposé selon la forme et dans le délai prescrits (art. 385 al. 1 et 396 al. 1 CPP) – les formalités de l'art.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Les pièces nouvelles produites à l'appui de son recours sont recevables, la jurisprudence admettant la production de faits et de moyens de preuve nouveaux en deuxième instance (arrêts du Tribunal fédéral 1B_368/2014 du 5 février 2015 consid. 3.1 et 3.2 et 1B_768/2012 du 15 janvier 2013 consid. 2.1).</w:t>
      </w:r>
    </w:p>
    <w:p>
      <w:r>
        <w:rPr>
          <w:b/>
        </w:rPr>
        <w:t>E. 3</w:t>
      </w:r>
    </w:p>
    <w:p>
      <w:r>
        <w:t>La Chambre de céans revoit avec un plein pouvoir de cognition, en fait notamment, les points de la décision attaqués devant elle (art. 393 al. 2 et 385 al. 1 let. a CPP).</w:t>
      </w:r>
    </w:p>
    <w:p>
      <w:r>
        <w:rPr>
          <w:b/>
        </w:rPr>
        <w:t>E. 4</w:t>
      </w:r>
    </w:p>
    <w:p>
      <w:r>
        <w:t>Le recourant fait grief au Ministère public de ne pas être entré en matière sur sa plainte et soutient avoir reçu un commandement de payer abusif.</w:t>
      </w:r>
    </w:p>
    <w:p>
      <w:r>
        <w:rPr>
          <w:b/>
        </w:rPr>
        <w:t>E. 4.1</w:t>
      </w:r>
    </w:p>
    <w:p>
      <w:r>
        <w:t>Selon l'art. 310 al. 1 let. a CPP, le Ministère public rend immédiatement une ordonnance de non-entrée en matière s'il ressort de la dénonciation ou du rapport de police que les éléments constitutifs de l'infraction ou des conditions à l'ouverture de l'action pénale ne sont manifestement pas réunis.</w:t>
      </w:r>
    </w:p>
    <w:p>
      <w:r>
        <w:rPr>
          <w:b/>
        </w:rPr>
        <w:t>E. 4.2</w:t>
      </w:r>
    </w:p>
    <w:p>
      <w:r>
        <w:t>Le principe in dubio pro duriore découle du principe de la légalité (art. 5 al. 1 Cst. et 2 al. 2 CPP en relation avec les art. 19 al. 1 et 324 CPP ; ATF 138 IV 86 consid. 4.2). Il signifie qu'en principe, un classement ou une non-entrée en matière ne peuvent être prononcés par le ministère public que lorsqu'il apparaît clairement que les faits ne sont pas punissables ou que les conditions à la poursuite pénale ne sont pas remplies.</w:t>
      </w:r>
    </w:p>
    <w:p>
      <w:r>
        <w:t>- 8/12 - P/19168/2018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op.cit. ; R. PFISTER-LIECHTI (éd.), La procédure pénale fédérale, Fondation pour la formation continue des juges suisses, Berne 2010, p. 62).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 137 IV 285 consid. 2.5 ; arrêt du Tribunal fédéral 1B_112/2012 du 6 décembre 2012</w:t>
      </w:r>
    </w:p>
    <w:p>
      <w:r>
        <w:rPr>
          <w:b/>
        </w:rPr>
        <w:t>E. 5.1</w:t>
      </w:r>
    </w:p>
    <w:p>
      <w:r>
        <w:t>Se rend coupable de contrainte selon l'art. 181 CP celui qui, en usant de violence envers une personne ou en la menaçant d'un dommage sérieux, ou en l'entravant de quelque autre manière dans sa liberté d'action, l'aura obligée à faire, ne pas faire ou à laisser faire un acte.</w:t>
      </w:r>
    </w:p>
    <w:p>
      <w:r>
        <w:rPr>
          <w:b/>
        </w:rPr>
        <w:t>E. 5.2</w:t>
      </w:r>
    </w:p>
    <w:p>
      <w:r>
        <w:t>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somme d'argent est licite. En revanche, utiliser un tel procédé comme moyen de pression est clairement abusif, donc illicite (arrêts du Tribunal fédéral 6B_8/2017 du 15 août 2017 consid. 2.1 et 2.2; 6B_378/2016 précité consid. 2.1 et 2.2; 6B_70/2016 du 2 juin 2016 consid. 4.3.4 non publié in ATF 142 IV 315; 6B_750/2014 du 7 août 2015 consid. 1.1.2; 6S_853/2000 du 9 mai 2001 consid. 4c). Lorsque la victime ne se laisse pas intimider et n'adopte pas le comportement voulu par l'auteur, ce dernier est punissable de tentative de contrainte (art. 22 al. 1 CP; ATF 129 IV 262 consid. 2.7 p. 270; 106 IV 125 consid. 2b p. 129). Pour qu'il y ait tentative de contrainte, il faut que l'auteur ait agi avec conscience et volonté, soit au</w:t>
      </w:r>
    </w:p>
    <w:p>
      <w:r>
        <w:t>- 9/12 - P/19168/2018 moins qu'il ait accepté l'éventualité que le procédé illicite employé entrave le destinataire dans sa liberté de décision (ATF 120 IV 17 consid. 2c p. 22).</w:t>
      </w:r>
    </w:p>
    <w:p>
      <w:r>
        <w:rPr>
          <w:b/>
        </w:rPr>
        <w:t>E. 5.3</w:t>
      </w:r>
    </w:p>
    <w:p>
      <w:r>
        <w:t>En application de ces principes, le Tribunal fédéral a retenu que la notification de trois commandements de payer d'un montant de CHF 910'000.- chacun, ne reposant sur aucune créance valable, notifiés à des dirigeants d'une société avec laquelle l'auteur se trouvait en litige et portant, comme cause de l'obligation, une référence à un courrier du ministère public envoyé dans le cadre d'une procédure pénale, était constitutive d'une tentative de contrainte (arrêt du Tribunal fédéral 6B_8/2017 précité consid. 2.2; cf. également les faits à la base de l'arrêt du Tribunal fédéral 6S_853/2000 précité). Il en allait de même de la notification d'un commandement de payer de plus de CHF 800'000.-, somme qualifiée d'exorbitante par la Chambre pénale d'appel et de révision, ceci plus de 13 ans après les faits et sans démarches judiciaires parallèles (arrêt du Tribunal fédéral 6B_153/2017 du 28 novembre 2017 consid. 3.2.2). Aussi, un commandement de payer de plus de CHF 600'000.-, représentant les loyers de la totalité du contrat de bail conclu pour une durée de 10 ans, précédé d'un courrier électronique proposant un règlement amiable du litige pour une somme moindre, sous peine de poursuites, de saisie de salaire en mains de l'employeur voire d'action en justice, sans suite donnée au refus de la mainlevée de l'opposition, constitue un moyen de pression abusif (arrêt du Tribunal fédéral 6B_378/2016 précité consid. 2.3). Sur cette base, la Chambre de céans a également retenu que faire l'objet d'un commandement de payer de CHF 176'250.- constitue, pour une personne de sensibilité moyenne, une menace d'un dommage sérieux au sens de la jurisprudence précitée (ACPR/468/2018 du 24 août 2018 consid. 3.3.). Ainsi, le fondement de la créance invoquée, le montant indiqué sur le commandement de payer et le contexte de sa notification sont autant d'éléments pertinents dans l'appréciation des circonstances du cas d'espèce (cf. également R. JORDAN, Les poursuites injustifiées: point de situation, in Revue de l'avocat 2017 p. 131 s. et les arrêts cités).</w:t>
      </w:r>
    </w:p>
    <w:p>
      <w:r>
        <w:rPr>
          <w:b/>
        </w:rPr>
        <w:t>E. 5.4</w:t>
      </w:r>
    </w:p>
    <w:p>
      <w:r>
        <w:t>En l'espèce, le recourant ne s'est pas laissé intimider par le commandement de payer litigieux, puisqu'il y a fait opposition et ne s'est pas acquitté de la somme réclamée, si bien que seule une tentative de contrainte (art. 22 al. 1 cum 181 CP) pourrait entrer en considération.</w:t>
      </w:r>
    </w:p>
    <w:p>
      <w:r>
        <w:t>- 10/12 - P/19168/2018 Le montant du commandement de payer qui lui a été notifié personnellement, pour un montant total de CHF 6'261'394.20, est susceptible de constituer, objectivement, une entrave à sa liberté d'action. Reste toutefois à examiner si, en application des critères susmentionnés, cette démarche était en l'occurrence illicite, soit que le moyen utilisé ou le but poursuivi étaient contraires au droit, soit que le procédé constituait un moyen de pression abusif. Premièrement, le moyen utilisé, à savoir la notification d'un commandement de payer, est conforme à la Loi fédérale sur la poursuite pour dettes et la faillite. Quant au but poursuivi, la société mise en cause invoque, en premier lieu, le litige civil qui l'avait opposée à la société C______ CO, et qui avait conduit au prononcé d'une décision arbitrale le 14 janvier 2014, condamnant cette dernière à lui payer un montant de USD 5'800'000.-. Elle allègue, en second lieu, être légitimée à agir directement contre le recourant, soutenant que le droit égyptien permettait au créancier d'attraire en justice non seulement la société débitrice mais également ses administrateurs et actionnaires respectifs. Cela étant, au vu des pièces versées au dossier par le recourant, il appert que le nom de ce dernier n'apparait pas dans le cadre de la procédure ouverte devant les autorités judiciaires égyptiennes, pas plus que dans la sentence arbitrale sus-évoquée. En outre, il ressort du droit égyptien cité dans les avis de droit, qu'à l'instar du droit commercial suisse, un actionnaire, respectivement un administrateur, ne répond pas personnellement des dettes contractées par la société à laquelle il est lié. Enfin, il sied de relever que la société mise en cause a adressé au recourant le commandement de payer litigieux le 30 avril 2015 – lequel lui a été notifié le 11 juin 2015 – mais n'a engagé aucune action judiciaire depuis pour recouvrer le montant en question, de sorte que le bienfondé de sa démarche semble discutable. Il est ainsi révélateur qu'elle n'ait pas cherché à établir sa créance, plus de 4 ans après les faits, compte tenu du montant conséquent dont elle se prévaut. On ne peut ainsi exclure que la société mise en cause n'avait pas conscience du caractère illicite de ses agissements, à tout le moins par dol éventuel, ce qu'illustre particulièrement l'absence de toute démarche tendant à demander la mainlevée de l'opposition ou la reconnaissance judiciaire de la créance. Par conséquent, si le bien-fondé de sa prétention relève des juridictions civiles, elle apparaît néanmoins, à ce stade, abusive et dénuée de fondement. Il s'ensuit que l'analyse de la poursuite déposée à l'encontre du recourant, à titre personnel, suffit à conclure qu'il existe une prévention pénale suffisante de tentative de contrainte, de sorte que le Ministère public n'était pas fondé à rendre en l'état une ordonnance de non-entrée en matière.</w:t>
      </w:r>
    </w:p>
    <w:p>
      <w:r>
        <w:rPr>
          <w:b/>
        </w:rPr>
        <w:t>E. 6</w:t>
      </w:r>
    </w:p>
    <w:p>
      <w:r>
        <w:t>Fondé, le recours doit être admis; partant, l'ordonnance querellée sera annulée et la cause renvoyée au Ministère public pour ouverture d'une instruction.</w:t>
      </w:r>
    </w:p>
    <w:p>
      <w:r>
        <w:t>- 11/12 - P/19168/2018</w:t>
      </w:r>
    </w:p>
    <w:p>
      <w:r>
        <w:rPr>
          <w:b/>
        </w:rPr>
        <w:t>E. 7</w:t>
      </w:r>
    </w:p>
    <w:p>
      <w:r>
        <w:t>L'admission du recours ne donne pas lieu à la perception de frais (art. 428 al. 1 CPP).</w:t>
      </w:r>
    </w:p>
    <w:p>
      <w:r>
        <w:rPr>
          <w:b/>
        </w:rPr>
        <w:t>E. 8</w:t>
      </w:r>
    </w:p>
    <w:p>
      <w:r>
        <w:t>Le recourant, qui obtient gain de cause, a sollicité une indemnité de CHF 3'634.87, TVA (7.7%) comprise, pour ses frais de défense (art. 433 al. 1 let. a CPP), correspondant à 6h30 d'activité pour la rédaction du recours, à un tarif horaire de CHF 450.-, et à 3h d'activités diverses, dont la préparation du chargé, la consultation du dossier et des recherches juridiques, au tarif horaire de CHF 250.-.</w:t>
      </w:r>
    </w:p>
    <w:p>
      <w:r>
        <w:rPr>
          <w:b/>
        </w:rPr>
        <w:t>E. 8.1</w:t>
      </w:r>
    </w:p>
    <w:p>
      <w:r>
        <w:t>La juste indemnité, notion qui laisse un large pouvoir d'appréciation au juge, couvre les dépenses et les frais nécessaires pour faire valoir le point de vue de la partie plaignante. L'utilité des démarches entreprises ne s'examine pas sous l'angle du résultat obtenu; celles-ci doivent apparaître adéquates pour la défense du point de vue d'une partie plaignante raisonnable (arrêt du Tribunal fédéral 6B_159/2012 du 22 juin 2012 consid. 2.2 et 2.3).</w:t>
      </w:r>
    </w:p>
    <w:p>
      <w:r>
        <w:rPr>
          <w:b/>
        </w:rPr>
        <w:t>E. 8.2</w:t>
      </w:r>
    </w:p>
    <w:p>
      <w:r>
        <w:t>Après examen de sa note de frais du 27 mai 2019 et au vu des développements qui précèdent, la quotité des heures consacrées au recours paraît excessive, compte tenu de l'absence de complexité juridique de la cause. 4 heures d'activité, au tarif horaire de CHF 450.- et 2 heures d'activités, au tarif horaire de CHF 250.- apparaissent en adéquation avec le travail accompli. Sa rémunération sera, partant, arrêtée à CHF 2'477.10, TVA de 7.7% comprise. * * * * *</w:t>
      </w:r>
    </w:p>
    <w:p>
      <w:r>
        <w:t>- 12/12 - P/19168/2018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