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ACPR/861/2021 vom 22. Oktober 2021</w:t>
      </w:r>
    </w:p>
    <w:p>
      <w:r>
        <w:t>GE Cour de justice, 2021-10-22, FR</w:t>
      </w:r>
    </w:p>
    <w:p>
      <w:r>
        <w:rPr>
          <w:b/>
        </w:rPr>
        <w:t xml:space="preserve">Quelle: </w:t>
      </w:r>
      <w:r>
        <w:t>https://mcp.opencaselaw.ch/entscheid/ge_gerichte_ACPR_861_2021</w:t>
      </w:r>
    </w:p>
    <w:p>
      <w:r>
        <w:t>FR: GE_GERICHTE ACPR/861/2021 du 22 octobre 2021</w:t>
      </w:r>
    </w:p>
    <w:p>
      <w:r>
        <w:t>IT: GE_GERICHTE ACPR/861/2021 del 22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invoque une rupture du lien de confiance avec son défenseur et demande le remplacement de ce dernier.</w:t>
      </w:r>
    </w:p>
    <w:p>
      <w:r>
        <w:rPr>
          <w:b/>
        </w:rPr>
        <w:t>E. 2.1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cf. arrêts rendus avant l'entrée en vigueur du CPP: ATF 105 Ia 296 consid. 1d p. 302; arrêts 1B_74/ 2008 du 18 juin 2008 consid. 2 et 1B_245/2008 du 11 novembre 2008 consid. 2; arrêt CourEDH Croissant contre Allemagne du 25 septembre 1992, § 29). Une demande de remplacement du défenseur d'office ne peut être admise que si, pour des motifs objectifs, une défense compétente et efficace des intérêts du prévenu n'est plus garantie (ATF 116 Ia 102 consid. 4b/aa). L'art. 134 al. 2 CPP précise à ce propos</w:t>
      </w:r>
    </w:p>
    <w:p>
      <w:r>
        <w:t>- 5/8 - P/10989/2020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1P.364/2004 précité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JT 1993 IV 186 consid. 4b/bb p. 105; 105 Ia 296 consid. 1 p. 304;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2ème éd., Bâle 2019. n. 20-22 ad art. 134).</w:t>
      </w:r>
    </w:p>
    <w:p>
      <w:r>
        <w:rPr>
          <w:b/>
        </w:rPr>
        <w:t>E. 2.2</w:t>
      </w:r>
    </w:p>
    <w:p>
      <w:r>
        <w:t>Selon l'art. 33 de loi sur la profession d'avocat (LPAv; E 6 10), l'avocat stagiaire ne peut faire des actes de procédure et d'instruction, se présenter ou plaider au civil, au pénal et en matière administrative qu'au nom et sous la responsabilité de l'avocat chez lequel il accomplit son stage. Durant celui-ci, il doit fréquenter assidûment les tribunaux; travailler régulièrement au service de son maître de stage; et prendre une part active aux audiences des tribunaux et des autres autorités juridictionnelles (art. 13 al. 1 let. a, b et d du règlement d'application de la LPAv; E 6 10.01).</w:t>
      </w:r>
    </w:p>
    <w:p>
      <w:r>
        <w:rPr>
          <w:b/>
        </w:rPr>
        <w:t>E. 2.3</w:t>
      </w:r>
    </w:p>
    <w:p>
      <w:r>
        <w:t>En l'espèce, la recourante invoque "un problème dans la qualité de sa défense" expliquant que son conseil aurait été menacé d'une plainte à la Commission du Barreau par l'avocat de la partie adverse lors d'une audience et que, par la suite, elle aurait été assistée par l'avocate stagiaire.</w:t>
      </w:r>
    </w:p>
    <w:p>
      <w:r>
        <w:t>- 6/8 - P/10989/2020 Les invectives et menaces de dénonciation entre avocats lors des audiences sont fréquentes et ne préjugent pas la qualité de leur travail. Par ailleurs, le défenseur formellement désigné peut valablement se substituer un avocat stagiaire. Son absence aux audiences ne permet pas de conclure à l'absence de supervision du travail du stagiaire ou à son désintérêt pour le dossier. Le critère déterminant reste l'efficacité de la défense. À l'exception des faits susmentionnés, lesquels ne permettent pas de conclure à une violation des devoirs professionnels du défenseur, la recourante ne relate aucun fait précis permettant à la Chambre de céans de retenir que sa défense ne serait pas assurée de manière suffisamment efficace dans la présente procédure. En effet, ses accusations portant sur la qualité des recours au Tribunal fédéral de son conseil et sur la prétendue mauvaise qualité de sa défense devant la Cour pénale du Canton de Vaud ne concernent pas la présente cause et ne sont pas de nature à démontrer qu'elle ne serait, ici, pas correctement assistée. Sous l'angle de l'art. 134 al. 2 CPP, il y a d'autant moins de raison de revenir sur la désignation de Me D______ que la recourante a expressément demandé sa désignation en qualité d'avocat d'office dans le cadre de la présente procédure. Aucun élément au dossier ne laisse entrevoir que sa défense souffrirait d'une inaction de son avocat ou d'une grave perturbation de la relation de confiance. Au contraire, les motifs avancés par la recourante sont purement subjectifs. De manière objective, on ne relève aucune faute du défenseur dans l'exercice de sa mission. À l'aune des différents écrits de la recourante, on comprend surtout qu'elle veut changer d'avocat afin que Me F______ soit nommé, estimant qu'il serait le seul à pouvoir la défendre face à "la puissance“ de la partie adverse. Or, pareil motif s'avère de pure convenance et ne suffit pas à étayer une rupture du lien de confiance, étant relevé que Me D______ ne demande lui-même pas un changement de défenseur. La recourante, qui bénéficie d'une défense d'office prise en charge par l'État, ne peut pas choisir librement son défenseur. Au vu de l'ensemble de ces éléments, c'est à bon droit que le Tribunal a refusé de relever Me D______ de sa mission.</w:t>
      </w:r>
    </w:p>
    <w:p>
      <w:r>
        <w:rPr>
          <w:b/>
        </w:rPr>
        <w:t>E. 3</w:t>
      </w:r>
    </w:p>
    <w:p>
      <w:r>
        <w:t>Justifiée, l'ordonnance querellée sera donc confirmée.</w:t>
      </w:r>
    </w:p>
    <w:p>
      <w:r>
        <w:rPr>
          <w:b/>
        </w:rPr>
        <w:t>E. 4</w:t>
      </w:r>
    </w:p>
    <w:p>
      <w:r>
        <w:t>La recourante, qui succombe, supportera les frais envers l'État, fixés en totalité à CHF 800.-, y compris un émolument de décision (art. 428 al. 1 CPP et 13 al. 1 du Règlement fixant le tarif des frais en matière pénale, RTFMP ; E 4 10.03).</w:t>
      </w:r>
    </w:p>
    <w:p>
      <w:r>
        <w:t>- 7/8 - P/10989/2020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