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ACPR/861/2020 vom 12. Mai 2020</w:t>
      </w:r>
    </w:p>
    <w:p>
      <w:r>
        <w:t>GE Cour de justice, 2020-05-12, FR</w:t>
      </w:r>
    </w:p>
    <w:p>
      <w:r>
        <w:rPr>
          <w:b/>
        </w:rPr>
        <w:t xml:space="preserve">Quelle: </w:t>
      </w:r>
      <w:r>
        <w:t>https://mcp.opencaselaw.ch/entscheid/ge_gerichte_ACPR_861_2020</w:t>
      </w:r>
    </w:p>
    <w:p>
      <w:r>
        <w:t>FR: GE_GERICHTE ACPR/861/2020 du 12 mai 2020</w:t>
      </w:r>
    </w:p>
    <w:p>
      <w:r>
        <w:t>IT: GE_GERICHTE ACPR/861/2020 del 12 maggio 2020</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Aux termes de l’art. 319 al. 1 CPP, le ministère public ordonne le classement de tout ou partie de la procédure notamment lorsqu’aucun soupçon justifiant une mise</w:t>
      </w:r>
    </w:p>
    <w:p>
      <w:r>
        <w:t>- 7/12 - P/15605/2018 en accusation n’est établi (let. a) ou lorsque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 ATF 138 IV 86 consid. 4.2).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(ATF 143 IV 241 consid. 2.2.1; arrêt du Tribunal fédéral 6B_116/2019 du 11 mars 2019 consid. 2.1). Lorsqu'il s'agit de délits commis typiquement "entre quatre yeux" pour lesquels il n'existe souvent aucune preuve objective. Il peut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et les arrêts cités ; arrêt du Tribunal fédéral 6B_116/2019 du 11 mars 2019 consid. 2.1).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6B_1239/2018 du 11 mars 2019 consid. 3.1.2).</w:t>
      </w:r>
    </w:p>
    <w:p>
      <w:r>
        <w:rPr>
          <w:b/>
        </w:rPr>
        <w:t>E. 2.2</w:t>
      </w:r>
    </w:p>
    <w:p>
      <w:r>
        <w:t>Selon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141 IV 437 consid. 3.2.2; 129 IV 262 consid.</w:t>
      </w:r>
    </w:p>
    <w:p>
      <w:r>
        <w:t>- 8/12 - P/15605/2018 2.3-2.5).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(cf. ATF 141 IV 437 consid. 3.2.2; plus récemment : arrêt du Tribunal fédéral 6B_568/2019 du 17 septembre 2019 consid. 4.1).</w:t>
      </w:r>
    </w:p>
    <w:p>
      <w:r>
        <w:rPr>
          <w:b/>
        </w:rPr>
        <w:t>E. 2.3</w:t>
      </w:r>
    </w:p>
    <w:p>
      <w:r>
        <w:t>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w:t>
      </w:r>
    </w:p>
    <w:p>
      <w:r>
        <w:rPr>
          <w:b/>
        </w:rPr>
        <w:t>E. 2.4</w:t>
      </w:r>
    </w:p>
    <w:p>
      <w:r>
        <w:t>Commet l’infraction à l'art. 180 al. 1 CP, celui qui, par une menace grave, aura alarmé ou effrayé une personne sera, sur plainte, puni d'une peine privative de liberté de trois ans au plus ou d'une peine pécuniaire.</w:t>
      </w:r>
    </w:p>
    <w:p>
      <w:r>
        <w:rPr>
          <w:b/>
        </w:rPr>
        <w:t>E. 2.5</w:t>
      </w:r>
    </w:p>
    <w:p>
      <w:r>
        <w:t>En l’espèce, il ressort des éléments au dossier qu’un conflit existe entre les parties depuis l’été 2017, caractérisé par des altercations entre les intéressées, avec parfois l’intervention de la police et dont l’une a conduit à leur condamnation par voie d’ordonnances pénales frappées d'opposition. S'il apparaît que ce litige a eu des répercussions sur l’état de santé de la recourante, ainsi que sur ses habitudes, elle souffrait toutefois déjà depuis plusieurs années d’un état dépressivo-anxieux, consécutif à une situation de vie difficile, et rencontrait des problèmes dans son mariage. Quoi qu'il en soit, les faits dénoncés sont contestés par l’intimée, se révèlent relativement imprécis et ne sont corroborés par aucun élément objectif. En effet, hormis les évènements du 15 juillet 2018 – dont les propos qui ont alors été tenus ne sont pas établis –, la recourante allègue s’être fait régulièrement insulter, menacer et surveiller par l’intimée, et sa famille, sans être en mesure de citer des événements précis ou un témoin présent lors de l’un d’entre eux, à l'exception de la sœur de l'intimée, dont rien n'indique qu'elle était présente au moment où cette dernière aurait prononcé les propos dénoncés. D'ailleurs, même si tel avait été le cas, il y aurait lieu de considérer avec prudence ses déclarations, compte tenu de ses liens avec l'intimée. Le certificat médical produit n'a pas davantage de valeur probante, la thérapeute de la recourante n'ayant assisté à aucun des faits dénoncés et seulement repris ceux que sa</w:t>
      </w:r>
    </w:p>
    <w:p>
      <w:r>
        <w:t>- 9/12 - P/15605/2018 patiente lui avait elle-même confiés. Au regard des dénégations de l'intimée et en l’absence d’autre élément objectif permettant de corroborer qu'elle aurait suivi et observé la recourante, sa déclaration selon laquelle elle "surveillait" la recourante depuis août 2017, ne permet pas à elle seule, de fonder un renvoi en jugement pour contrainte et lésions corporelles. Elle a allégué avoir, par-là, fait allusion au fait qu'elle veillait à ce que la recourante n'entrât pas en contact avec son mari, et rien au dossier ne permet de confirmer le harcèlement que dénonce la recourante. S’agissant du dégonflage des pneus des vélos des enfants de la recourante, de ses affaires tachées d’eau de javel, de son courrier disparu et du retentissement de sa sonnette en pleine nuit, ils ne sont corroborés par aucun élément objectif, et aucun indice ne permet de considérer que l’intimée en serait l’auteur, hormis l'existence d'un conflit entre les intéressées, ce qui paraît insuffisant. Pour sa part, l’intimée conteste les faits en question et reproche à la recourante des agissements similaires, sans, elle non plus, en apporter la preuve. Ainsi, selon les déclarations de chacune des parties, le conflit serait le fait de l’autre. Or, au regard des éléments au dossier, il n’apparaît pas possible de savoir ce qu'il en est véritablement, le rapport de police du 15 juillet 2018 faisant état de propos "tant lacunaires que contradictoires" des intéressées. L’on ne voit dès lors pas quel acte d’instruction, y compris ceux requis par la recourante, serait susceptible d’apporter un quelconque élément probant. Cette dernière n’allègue nullement que les témoins sollicités – les époux des protagonistes et "Madame C______" – auraient assisté à une des altercations entre les deux femmes, y compris celle du 15 juillet 2018. L'audition des maris, compte tenu de leur statut de proche des intéressées et de leur implication dans le litige à un moment ou à un autre, apparaît peu pertinente. En outre, l’audition de l’époux de l’intimée, qui vit désormais au Maroc, apparaît disproportionnée, pour autant qu’elle soit concrètement possible. La production des différentes mains-courantes ne ferait que confirmer l'existence d'un vif conflit entre les parties, sans apporter d'éclairage consistant. Une main-courante n'est, par définition, qu'une annotation au journal des évènements, de sorte que cet extrait permettrait uniquement de savoir qu'un appel avait été passé à la police, le cas échéant par qui, mais sans aucune précision sur les circonstances. Enfin, conformément à ce qui a été développé supra, l’identification et l’audition de la sœur de l’intimée, relative aux événements du 15 juillet 2018, n’apparaît pas non plus utile. Partant, compte tenu des déclarations contradictoires des parties, de l’absence d’élément objectif permettant de corroborer les déclarations de la recourante et d’acte d’instruction susceptible d’apporter un élément complémentaire pertinent, la décision de classement est justifiée et ne prête pas le flanc à la critique.</w:t>
      </w:r>
    </w:p>
    <w:p>
      <w:r>
        <w:rPr>
          <w:b/>
        </w:rPr>
        <w:t>E. 3</w:t>
      </w:r>
    </w:p>
    <w:p>
      <w:r>
        <w:t>Justifiée, l'ordonnance querellée sera donc confirmée.</w:t>
      </w:r>
    </w:p>
    <w:p>
      <w:r>
        <w:t>- 10/12 - P/15605/2018</w:t>
      </w:r>
    </w:p>
    <w:p>
      <w:r>
        <w:rPr>
          <w:b/>
        </w:rPr>
        <w:t>E. 4</w:t>
      </w:r>
    </w:p>
    <w:p>
      <w:r>
        <w:t>La recourante, qui succombe, supportera les frais envers l'État, qui seront fixés en totalité à CHF 1’000.- (art. 428 al. 1 CPP et 13 al. 1 du Règlement fixant le tarif des frais en matière pénale, RTFMP ; E 4 10.03).</w:t>
      </w:r>
    </w:p>
    <w:p>
      <w:r>
        <w:rPr>
          <w:b/>
        </w:rPr>
        <w:t>E. 5</w:t>
      </w:r>
    </w:p>
    <w:p>
      <w:r>
        <w:t>L'intimée, qui conclut à l'octroi de "dépens", sans les chiffrer, se verra allouer une indemnité de CHF 400.- TTC pour les déterminations de six pages (page de garde et de conclusions comprises) rédigées par son avocat. * * * * *</w:t>
      </w:r>
    </w:p>
    <w:p>
      <w:r>
        <w:t>- 11/12 - P/15605/2018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