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ACPR/861/2019 vom 4. Juli 2019</w:t>
      </w:r>
    </w:p>
    <w:p>
      <w:r>
        <w:t>GE Cour de justice, 2019-07-04, FR</w:t>
      </w:r>
    </w:p>
    <w:p>
      <w:r>
        <w:rPr>
          <w:b/>
        </w:rPr>
        <w:t xml:space="preserve">Quelle: </w:t>
      </w:r>
      <w:r>
        <w:t>https://mcp.opencaselaw.ch/entscheid/ge_gerichte_ACPR_861_2019</w:t>
      </w:r>
    </w:p>
    <w:p>
      <w:r>
        <w:t>FR: GE_GERICHTE ACPR/861/2019 du 4 juillet 2019</w:t>
      </w:r>
    </w:p>
    <w:p>
      <w:r>
        <w:t>IT: GE_GERICHTE ACPR/861/2019 del 4 luglio 2019</w:t>
      </w:r>
    </w:p>
    <w:p>
      <w:pPr>
        <w:pStyle w:val="Heading2"/>
      </w:pPr>
      <w:r>
        <w:t>Erwägungen</w:t>
      </w:r>
    </w:p>
    <w:p>
      <w:r>
        <w:rPr>
          <w:b/>
        </w:rPr>
        <w:t>E. 1</w:t>
      </w:r>
    </w:p>
    <w:p>
      <w:r>
        <w:t>Le recours a été déposé selon la forme et dans le délai prescrits (art. 385 al. 1 et 396 al. 1 CPP) – les formalités de l'art. 85 al. 2 CPP n'ayant pas été observées –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de ne pas être entré en matière sur sa plainte.</w:t>
      </w:r>
    </w:p>
    <w:p>
      <w:r>
        <w:rPr>
          <w:b/>
        </w:rPr>
        <w:t>E. 2.1</w:t>
      </w:r>
    </w:p>
    <w:p>
      <w:r>
        <w:t>Selon l'art. 310 al. 1 let. a CPP, le Ministère public rend immédiatement une ordonnance de non-entrée en matière s'il ressort de la dénonciation ou du rapport de police que les éléments constitutifs de l'infraction ou des conditions à l'ouverture de l'action pénale ne sont manifestement pas réunies. Le principe "in dubio pro duriore" découle du principe de la légalité (art. 5 al. 1 Cst. et 2 al. 2 CPP en relation avec les art. 19 al. 1 et 324 CPP ; ATF 138 IV 86 consid. 4.2). Il signifie qu'en principe, un classement ou une non-entrée en matière ne peuvent être prononcés par le ministère public que lorsqu'il apparaît clairement que</w:t>
      </w:r>
    </w:p>
    <w:p>
      <w:r>
        <w:t>- 7/10 - P/25052/2018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op.cit. ; R. PFISTER-LIECHTI (éd.), La procédure pénale fédérale, Fondation pour la formation continue des juges suisses, Berne 2010, p. 62).</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w:t>
      </w:r>
    </w:p>
    <w:p>
      <w:r>
        <w:rPr>
          <w:b/>
        </w:rPr>
        <w:t>E. 3.1</w:t>
      </w:r>
    </w:p>
    <w:p>
      <w:r>
        <w:t>Se rend coupable de lésions corporelles simples celui qui, intentionnellement, aura causé à une personne une atteinte à l'intégrité corporelle ou à la santé (art. 123 ch. 1 CP). Sous l'effet d'un choc ou au moyen d'un objet, l'auteur dégrade le corps humain d'autrui, que la lésion soit interne ou externe; il provoque une fracture, une foulure, une coupure ou toute autre altération constatable du corps humain (arrêt du Tribunal fédéral 6B_187/2015 du 28 avril 2015 consid. 2.1).</w:t>
      </w:r>
    </w:p>
    <w:p>
      <w:r>
        <w:rPr>
          <w:b/>
        </w:rPr>
        <w:t>E. 3.2</w:t>
      </w:r>
    </w:p>
    <w:p>
      <w:r>
        <w:t>À teneur de l'art. 123 ch. 2 CP, les lésions corporelles simples se poursuivent d'office notamment si l'auteur est le partenaire de la victime, pour autant qu'ils fassent ménage commun pour une durée indéterminée et que l'atteinte ait été commise durant cette période ou dans l'année qui a suivi la séparation.</w:t>
      </w:r>
    </w:p>
    <w:p>
      <w:r>
        <w:t>- 8/10 - P/25052/2018</w:t>
      </w:r>
    </w:p>
    <w:p>
      <w:r>
        <w:rPr>
          <w:b/>
        </w:rPr>
        <w:t>E. 3.3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w:t>
      </w:r>
    </w:p>
    <w:p>
      <w:r>
        <w:rPr>
          <w:b/>
        </w:rPr>
        <w:t>E. 3.4</w:t>
      </w:r>
    </w:p>
    <w:p>
      <w:r>
        <w:t>En l'espèce, la recourante soutient que le 16 novembre 2018, alors qu'elle avait voulu décrocher la ceinture de sécurité qui entourait le siège-enfant dans lequel était installée leur fille, le mis en cause lui aurait violemment empoigné le pouce droit et l'aurait tordu "en arrière". Il l'aurait également saisie brutalement à la hauteur de l'encolure de sa veste, puis propulsée par-dessus un muret d'1,2 mètre de hauteur, lui provoquant des lésions, attestées par le certificat médical du 17 novembre 2018 et les photographies versées au dossier, à teneur desquels elle présentait une contusion et une entorse du pouce droit sans lésion osseuse, une contusion du pied droit avec hématome profond et lésions cutanées, plusieurs dermabrasions, plus ou moins profondes, sur ses jambes et ses genoux, et des lacérations de 8 cm de longueur sur la jambe gauche. Ces lésions revêtent les caractéristiques de lésions corporelles simples et de voies de fait. Le mis en cause a intégralement contesté les faits qui lui étaient reprochés, affirmant n'avoir jamais frappé son ex-compagne et soutenant que celle-ci s'était peut-être blessée toute seule en franchissant le muret en question. Il n'aurait jamais levé la main sur cette dernière, mais l'aurait uniquement maintenue par les bras, afin de l'empêcher de l'agresser. Si ces versions apparaissent effectivement contradictoires, celle de la recourante est corroborée par le constat médical et les photographies susmentionnées. Partant, sa version n'apparaît pas moins crédible que celle du mis en cause. Dans ces circonstances, il appartenait au Ministère public, en application de la jurisprudence précitée, d'instruire davantage la cause, cas échéant en procédant à une confrontation des protagonistes et éventuellement à l'audition de la mère de la recourante, voire de renvoyer l'affaire en jugement.</w:t>
      </w:r>
    </w:p>
    <w:p>
      <w:r>
        <w:rPr>
          <w:b/>
        </w:rPr>
        <w:t>E. 4</w:t>
      </w:r>
    </w:p>
    <w:p>
      <w:r>
        <w:t>Aussi, le recours se révèle-t-il fondé. La décision déférée sera donc annulée et la cause renvoyée au Ministère public pour qu'il ouvre une instruction.</w:t>
      </w:r>
    </w:p>
    <w:p>
      <w:r>
        <w:rPr>
          <w:b/>
        </w:rPr>
        <w:t>E. 5</w:t>
      </w:r>
    </w:p>
    <w:p>
      <w:r>
        <w:t>En vertu de l'art. 436 al. 1 CPP, les prétentions en indemnité dans les procédures de recours sont régies par les art. 429 à 434 CPP.</w:t>
      </w:r>
    </w:p>
    <w:p>
      <w:r>
        <w:t>- 9/10 - P/25052/2018 L'admission du recours ne donne pas lieu à la perception de frais (art. 428 al. 1 CPP), de sorte que le montant de CHF 900.- versé par la recourante à titre de sûretés lui sera restitué. Conformément à l'art. 433 al. 1 let. a CPP, applicable par renvoi de l'art. 436 al. 1 CPP, la partie plaignante qui obtient gain de cause dans la procédure de recours a droit à une juste indemnité pour ses dépenses, pour autant qu'elle les ait chiffrées et justifiées, ce qu'elle n'a pas fait en l'occurrence. * * * * *</w:t>
      </w:r>
    </w:p>
    <w:p>
      <w:r>
        <w:t>- 10/10 - P/25052/2018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