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ACPR/859/2021 vom 18. August 2021</w:t>
      </w:r>
    </w:p>
    <w:p>
      <w:r>
        <w:t>GE Cour de justice, 2021-08-18, FR</w:t>
      </w:r>
    </w:p>
    <w:p>
      <w:r>
        <w:rPr>
          <w:b/>
        </w:rPr>
        <w:t xml:space="preserve">Quelle: </w:t>
      </w:r>
      <w:r>
        <w:t>https://mcp.opencaselaw.ch/entscheid/ge_gerichte_ACPR_859_2021</w:t>
      </w:r>
    </w:p>
    <w:p>
      <w:r>
        <w:t>FR: GE_GERICHTE ACPR/859/2021 du 18 août 2021</w:t>
      </w:r>
    </w:p>
    <w:p>
      <w:r>
        <w:t>IT: GE_GERICHTE ACPR/859/2021 del 18 agosto 2021</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déposés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305bis CP) à la fois contre deux employées de C______ SA et contre la banque elle-même.</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 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w:t>
      </w:r>
    </w:p>
    <w:p>
      <w:r>
        <w:t>- 13/24 - P/13745/2021 et P/17612/2020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w:t>
      </w:r>
    </w:p>
    <w:p>
      <w:r>
        <w:t>- 14/24 - P/13745/2021 et P/17612/2020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 puisse considérer pour autant que les circonstances dont il avait connaissance faisaient naître un "soupçon pressant" au sens de la jurisprudence précitée (A. MACALUSO / L. MOREILLON / N. QUELOZ (éds), Commentaire romand, Code pénal II, Bâle 2017, n. 42 ad art. 305bis).</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w:t>
      </w:r>
    </w:p>
    <w:p>
      <w:r>
        <w:t>- 15/24 - P/13745/2021 et P/17612/2020 amende de cinq millions de francs au plus (al. 1). En cas d'infraction prévue aux art. 260ter, 260quinquies, 305bis, 322ter, 322quinquies, 322septies al. 1 ou 322octies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(Zurechnungsnorm),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2e éd., Bâle 2021, n. 57 ad art. 102).</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w:t>
      </w:r>
    </w:p>
    <w:p>
      <w:r>
        <w:t>- 16/24 - P/13745/2021 et P/17612/2020 externe et consciemment tolérées à l'interne, engagent alors la responsabilité pénale de la banque selon l'art. 102 al. 2 CP (K. VILLARD, op. cit.,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"diversification externe", par exemple en achetant des métaux précieux, mais si la banque considère ou doit considérer que cette opération est insolite ou inhabituelle, seules des mesures de vérification auprès du client lui- même sont adaptées pour écarter tout doute de falsification. Dans un tel cas, l'employé de la banque ne peut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t>- 17/24 - P/13745/2021 et P/17612/2020</w:t>
      </w:r>
    </w:p>
    <w:p>
      <w:r>
        <w:rPr>
          <w:b/>
        </w:rPr>
        <w:t>E. 3.4</w:t>
      </w:r>
    </w:p>
    <w:p>
      <w:r>
        <w:t>En l'espèce, on notera, à titre liminaire, que le recourant, dans sa plainte pénale complémentaire comme dans son recours, invoque uniquement l'infraction de blanchiment d'argent (art. 305bis CP), qui aurait été selon lui commise tant par les mises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 d'espèces litigieux. Les infractions qui lui sont reprochées dans ce cadre (escroquerie, abus de confiance, voire gestion déloyale) ont été commises lorsque les employées mises en cause ont exécuté les ordres qui se sont révélés falsifiés. À ce moment-là, ces dernières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Le recourant, assisté d'un avocat, ne reproche pas aux employées mises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27 août 2021 (P/1______/2020), par substitution de motifs. Il doit en aller de même de l'ordonnance du 18 août 2021 (P/13745/2021), faute pour les infractions patrimoniales pouvant théoriquement être reprochées aux employées de C______ SA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G______ et H______, le recours contre l'ordonnance du 27 août 2021 n'en devrait pas moins être rejeté, pour les raisons suivantes. Il n'est pas contesté que, en leur qualités respectives au sein du département des tiers gérants de la banque, les deux employées de C______ SA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qu'elles auraient manqué aux obligations en question – notamment celle de</w:t>
      </w:r>
    </w:p>
    <w:p>
      <w:r>
        <w:t>- 18/24 - P/13745/2021 et P/17612/2020 clarifier l'arrière-plan et le but d'une transaction (art. 6 LBA) – et que, par leur abstention, elles se seraient rendues coupables de blanchiment d'argent. En particulier, il ne saurait leur être reproché de ne pas avoir considéré que la relation bancaire du recourant présentait un risque accru en raison de nombreux ordres de transferts inhabituels reçus à partir de mars 2014. Comme cela ressort du dossier, les fonds du recourant avaient été transférés à C______ SA en provenance de la banque D______ SA en octobre 2013, soit quelques mois seulement avant le premier transfert. G______ a expliqué qu'elle s'était fiée aux explications du tiers gérant – à qui certaines tâches LBA avaient été déléguées par contrat, ce que le recourant ne conteste pas – sur "l'historique" du client. Elle ne s'est toutefois pas contentée d'exécuter aveuglément les ordres reçus du gérant, mais a souligné que, comme la relation avec E______ SA venait de débuter, elle avait tenu à s'assurer de la conformité des premières transactions. Il ressort d'une note interne relative au premier transfert qu'elle s'est effectivement renseignée sur le secteur d'activité du recourant, qui possédait une station d'essence au bord du O______ [Turquie]. L'audition de H______ a permis de confirmer qu'elle aussi connaissait l'origine de la fortune du recourant et, surtout, qu'aucune des transactions qu'elle avait effectuées au débit de son compte ne lui avait paru incompatible avec son profil. Dans ces conditions, on ne peut retenir que les ordres reçus pour des transactions commerciales dans ce même secteur d'activité (n° 1 et n° 23), voire pour des investissements dans d'autres secteurs (n° 2 : société laitière ; n° 3 : consulting), soient inhabituels au point de susciter des interrogations chez les mises en cause. Il n'en va pas autrement des opérations à caractère plus privé exécutées depuis la même relation d'affaires, ce qui ne saurait être qualifié de "particulièrement insolite". Quant à la volonté du recourant de conserver son patrimoine pour le donner en héritage à ses enfants, outre qu'elle ne ressort pas des pièces au dossier – qui contiennent au contraire un contrat de mandat de conseil en placement autorisant le gérant à procéder à certaines opérations risquées sur les fonds confiés –, elle ne saurait à elle seule rendre suspect tout transfert au débit de son compte, étant précisé qu'un investissement dans une société laitière ou l'achat de biens immobiliers, d'une oliveraie voire de bateaux ne paraissent pas, vu la fortune du recourant, incompatibles avec une gestion conservatrice du patrimoine. Force est ensuite de constater que les mises en cause ont fait vérifier la signature figurant sur les ordres qui leur étaient envoyés par fax, mode de transmission qui n'est pas contesté par le recourant, étant précisé que leurs auditions confirment l'existence d'une "décharge fax/téléphone/mail" permettant de tels envois. Sur un plan pénal, il ne peut leur être reproché de ne pas avoir exigé les originaux – mesure qui aurait été incompatible avec une liquidation rapide des opérations – ni, du reste, de ne pas avoir remarqué que les signatures sur les ordres étaient toutes rigoureusement identiques et procédaient d'un simple "copier-coller", ce d'autant moins que les motifs des transferts n'étaient, on l'a vu, pas insolites. Outre les</w:t>
      </w:r>
    </w:p>
    <w:p>
      <w:r>
        <w:t>- 19/24 - P/13745/2021 et P/17612/2020 signatures, le recourant ne prétend pas que les ordres reçus présentaient des incongruités ou d'autres indices sérieux de falsification. Surtout, les employées mises en cause ont documenté les motifs à la base des transactions, qui leur étaient donnés lors d'un "call back" auprès de celui qu'elles pensaient être le recourant, mais qui s'est avéré être un complice du gérant de fortune externe. Elles ont à cet égard expliqué avoir procédé aux vérifications usuelles et avoir posé des questions à leur interlocuteur, sans avoir douté qu'il puisse s'agir d'un imposteur. Elles ont aussi confirmé que les alertes générées automatiquement pour certaines transactions n'avaient jamais suscité le doute du service compliance. G______ a en outre déclaré avoir procédé à certaines recherches pour déterminer le caractère adéquat du prix des biens achetés par le recourant et s'être renseignée à l'interne lorsque des documents en turc lui étaient soumis. Dans ce cadre, le recourant fait grand cas des 14 transferts en faveur d'un autre compte au sein de C______ SA, avec pour titulaire K______, qui auraient selon lui été exécutés sans la moindre explication ou pièce justificative. Il ne peut être suivi. Comme cela ressort du dossier (cf. let. B.i.c. supra), ces transferts paraissent se rapporter à la même opération, soit l'achat d'un bien immobilier à M______ [Turquie]. Cette lecture est confortée par (i) les explications données lors du premier "call back" et des rappels subséquents (ii) le prix de vente (USD 1'300'000.-), qui se rapproche de la somme des transferts litigieux (USD 1'172'400.-) et (iii) les déclarations de F______ dans la P/3______/2019 au sujet d'un contrat de vente en turc – dont dispose le recourant, mais qu'il n'a pas produit dans la présente procédure – apparemment utilisé pour justifier les transferts à K______. On peut encore ajouter que, lors de leur audition, les mises en cause ont contesté ne pas avoir obtenu d'explication du recourant et/ou du tiers gérant au sujet de ces opérations. Elles ont su donner certains détails sur K______, qui était un partenaire et ami du recourant actif dans l'immobilier, ce qui peut justifier tant la vente immobilière que le paiement du prix en plusieurs fois. Enfin, elles ont toutes deux produit des justificatifs relatifs à certaines des transactions litigieuses. En les comparant avec les pièces fournies à l'appui de la plainte, on constate qu'il s'agit des mêmes documents, mais comportant en outre les annotations de la banque quant aux contrôles effectués (par ex. pour le transfert n° 26 : comp. la pièce 3 annexée au procès-verbal d'audition de H______ et le même document [mais vierge] sous pièce 12 plainte). Dans ces conditions, il n'y a pas lieu de douter que des vérifications ont bien été exécutées pour l'ensemble de ces transferts, quoi qu'en dise le recourant. Les quelques critiques qu'il adresse encore aux autres transferts sont dénuées de pertinence. Qu'une même société (L______ LTD) ait été impliquée à la fois dans la vente d'un bateau et dans la vente d'une oliveraie n'est pas non plus insolite, les employées de banque ayant pu penser que ces opérations – à caractère privé – étaient en réalité passées avec le bénéficiaire de ladite société, et non, comme le soutient pourtant le recourant, que cette dernière offrait à la fois des bateaux et des oliveraies.</w:t>
      </w:r>
    </w:p>
    <w:p>
      <w:r>
        <w:t>- 20/24 - P/13745/2021 et P/17612/2020 En dehors de toute transaction suspecte, on ne saurait non plus leur reprocher de ne pas avoir recherché l'ayant droit de la société en question dans la base de données N______. Le retrait d'espèces (n° 25) fait suite à une instruction expresse, signée, qui mentionne le nom et le numéro de la pièce d'identité du gérant externe ; son arrière- plan économique a en outre été explicité lors d'un "call back" au client. Dans ces conditions, le fait que la procuration générale octroyée à E______ SA ne lui permettait pas de procéder à des retraits d'espèces ne saurait faire apparaître la transaction en cause comme suspecte. Il n'est pas non plus inhabituel que des transactions relatives à des sociétés ou des immeubles sis à l'étranger fassent l'objet de paiements sur des comptes en Suisse, ce d'autant moins lorsque, comme l'a expliqué G______, le client est en relation d'affaires avec d'autres clients de la même banque, pour certains de la même nationalité que lui, qui ont confié la gestion de leurs avoirs au même gérant externe. Enfin, l'absence d'un premier paiement depuis le compte du recourant ne rend pas insolites les explications relatives à la transaction n° 21 ("2ème versement pour l'achat d'un bateau"). Quant au (faux) numéro de téléphone du recourant, annoncé par le gérant externe à C______ SA, il ressort des déclarations des mises en cause que, selon le contrat qui liait la banque au gérant, la tâche d'identifier le client avait été déléguée à ce dernier. On ne saurait dès lors reprocher à celles-ci d'avoir composé le numéro figurant dans leur dossier. Le recourant, qui ne conteste pas l'existence d'une telle délégation, ne démontre pas en quoi la banque aurait dans ce cadre manqué à ses obligations générales de sélection, de formation et de surveillance du tiers délégataire (K. VILLARD, op. cit., p. 117). Surtout, il apparaît que, lors des "call back", les employées de banque ne sont pas parvenues à déjouer les manœuvres de F______ et de son complice, puisqu'elles ont cru parler au recourant en personne. Aucun élément au dossier ne permet d'affirmer qu'elles auraient alors eu le moindre doute sur sa véritable identité, ce qui aurait remis en cause le travail d'identification fait en amont par le gérant externe. Comme elles l'ont expliqué de façon concordante, si la banque a mis fin au contrat de délégation avec E______ SA, c'est uniquement pour des motifs commerciaux, et non en raison d'insuffisances dans l'exécution de tâches LBA. On ne saurait dès lors faire grief aux mises en cause ne pas avoir procédé à une nouvelle identification ("KYC") du recourant à ce moment. Enfin, si les pièces fournies à la banque par le gérant externe lors de la revue périodique du service compliance en mai 2017 comportent certes des incohérences par rapport aux explications données à l'époques (cf. let. B.i.d. supra), il s'agit de deux transferts, parmi les plus faibles des 26 transactions litigieuses (n° 18 [USD 48'250] : P______ [marque automobile] vs. bateau à moteur ; n° 6 [USD 37'000.-] : speed boat vs. oliveraie), étant précisé que des justificatifs concordants ont été fournis pour quatre autres transactions au moins, portant sur des montants autrement plus significatifs (n° 1 [USD 503'534.-], n° 4 [USD 135'032.-], n° 11 [USD 500'000.-] et n° 23 [USD 500'000.-]). Le recourant ne prétend pas que, lors de cette revue périodique, ces deux seules incohérences (qu'il qualifie d'"erreurs</w:t>
      </w:r>
    </w:p>
    <w:p>
      <w:r>
        <w:t>- 21/24 - P/13745/2021 et P/17612/2020 grossières") auraient suffi à alerter les employés de la banque et permis de qualifier sa relation d'affaires comme comportant des risques accrus au sens de la LBA. Comme le retient le Ministère public, la production ultérieure de cette documentation, sur demande du service compliance, ne permet pas de fonder un reproche à l'encontre des mises en cause pour les démarches entreprises à l'époque, qui ont apparemment toujours été validées par le même service lors de son contrôle quotidien (système d'alertes). Le fait pour H______ d'avoir directement transmis les documents reçus en mai 2017 au service compétent, qui les avait du reste requis, n'est pas non plus critiquable, étant précisé qu'elle n'a pas cessé d'effectuer les démarches de vérification usuelles (signature, arrière-plan économique, "call back" au client) pour les ordres de transferts/retraits qui lui parvenaient encore (n° 24, n° 25 et n° 26). De tout ce qui précède, il résulte qu'il n'existe pas de soupçon suffisant permettant de considérer que les mises en cause auraient violé leurs devoirs découlant de la LBA et, partant, qu'elles se seraient rendues coupables de blanchiment d'argent (art. 305bis CP). En outre, la conclusion à laquelle parvient le Ministère public sur l'élément subjectif de l'infraction peut, ici aussi, être confirmée : rien ne permet d'affirmer que les employées concernées avaient connaissance de circonstances faisant naître un soupçon pressant quant à l'existence d'un crime commis par F______ dans la gestion des avoirs du recourant. Rien ne permet non plus d'affirmer qu'elles auraient seulement dû présumer l'existence d'un tel crime. On peut en effet inférer des contrôles effectués et de leurs déclarations à la police qu'elles n'étaient pas au courant des agissements du gérant de fortune et qu'elles ont été trompées,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deux mises en cause doit être rejeté.</w:t>
      </w:r>
    </w:p>
    <w:p>
      <w:r>
        <w:rPr>
          <w:b/>
        </w:rPr>
        <w:t>E. 3.6</w:t>
      </w:r>
    </w:p>
    <w:p>
      <w:r>
        <w:t>Reste encore à examiner le refus d'entrer en matière en tant qu'il concerne la banque elle-même, toujours pour le cas où une infraction de blanchiment pourrait être reprochée à ses employées.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deux employées de C______ SA à qui il reproche des actes de blanchiment d'argent, sans prétendre pour le surplus que d'autres personnes, demeurées inconnues, auraient également commis une infraction dans l'exercice d'activités commerciales conformes</w:t>
      </w:r>
    </w:p>
    <w:p>
      <w:r>
        <w:t>- 22/24 - P/13745/2021 et P/17612/2020 aux buts de la banque. En parcourant son recours contre l'ordonnance du 18 août 2021 (P/13745/2021), on ne peut que constater que, s'il reproche à la banque son organisation lacunaire, c'est en raison des exactes mêmes omissions que celles reprochées aux employées dans son recours contre l'ordonnance du 27 août 2021 (P/1______/2020).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deux employées mis en cause. En effet, les différents défauts d'organisation listés dans ses écritures ne sont pertinents que pour autant qu'ils aient effectivement permis que l'infraction sous-jacente – en l'occurrence l'art. 305bis CP – soit perpétrée au sein de l'entreprise. Or, il a été vu ci-dessus qu'il n'existait pas de soupçons suffisants quant à la commission – par omission – d'actes de blanchiment d'argent par les mises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PJA 2017 99 ss, p. 103 s.). Il ne peut dès lors être reproché à la banque d'avoir failli à son obligation de prendre les dispositions nécessaires pour empêcher la commission d'actes de blanchiment en son sein. Ce qui précède entraîne le rejet du grief de violation du principe in dubio pro duriore sur ce point également.</w:t>
      </w:r>
    </w:p>
    <w:p>
      <w:r>
        <w:rPr>
          <w:b/>
        </w:rPr>
        <w:t>E. 4</w:t>
      </w:r>
    </w:p>
    <w:p>
      <w:r>
        <w:t>Justifiées, les ordonnances querellées seront toutes deux confirmées.</w:t>
      </w:r>
    </w:p>
    <w:p>
      <w:r>
        <w:rPr>
          <w:b/>
        </w:rPr>
        <w:t>E. 5</w:t>
      </w:r>
    </w:p>
    <w:p>
      <w:r>
        <w:t>Le recourant, qui succombe, supportera les frais envers l'État, fixés pour les deux procédures de recours à CHF 3'500.- (art. 428 al. 1 CPP et 13 al. 1 du Règlement fixant le tarif des frais en matière pénale, RTFMP ; E 4 10.03). * * * * *</w:t>
      </w:r>
    </w:p>
    <w:p>
      <w:r>
        <w:t>- 23/24 - P/13745/2021 et P/17612/2020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