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ACPR/857/2020 vom 11. August 2020</w:t>
      </w:r>
    </w:p>
    <w:p>
      <w:r>
        <w:t>GE Cour de justice, 2020-08-11, FR</w:t>
      </w:r>
    </w:p>
    <w:p>
      <w:r>
        <w:rPr>
          <w:b/>
        </w:rPr>
        <w:t xml:space="preserve">Quelle: </w:t>
      </w:r>
      <w:r>
        <w:t>https://mcp.opencaselaw.ch/entscheid/ge_gerichte_ACPR_857_2020</w:t>
      </w:r>
    </w:p>
    <w:p>
      <w:r>
        <w:t>FR: GE_GERICHTE ACPR/857/2020 du 11 août 2020</w:t>
      </w:r>
    </w:p>
    <w:p>
      <w:r>
        <w:t>IT: GE_GERICHTE ACPR/857/2020 del 11 agosto 2020</w:t>
      </w:r>
    </w:p>
    <w:p>
      <w:pPr>
        <w:pStyle w:val="Heading2"/>
      </w:pPr>
      <w:r>
        <w:t>Erwägungen</w:t>
      </w:r>
    </w:p>
    <w:p>
      <w:r>
        <w:rPr>
          <w:b/>
        </w:rPr>
        <w:t>E. 1.1</w:t>
      </w:r>
    </w:p>
    <w:p>
      <w:r>
        <w:t>Le recours est déposé selon la forme et dans le délai prescrits (art. 385 al. 1 et 396 al. 1 CPP), concerne quatre ordonnances sujettes à recours auprès de la Chambre de céans (art. 393 al. 1 let. a CPP) et émane du prévenu, partie à la procédure (art. 104 al. 1 let. a CPP).</w:t>
      </w:r>
    </w:p>
    <w:p>
      <w:r>
        <w:rPr>
          <w:b/>
        </w:rPr>
        <w:t>E. 1.2</w:t>
      </w:r>
    </w:p>
    <w:p>
      <w:r>
        <w:t>Reste à déterminer si le recourant dispose d'un intérêt juridiquement protégé à la modification ou à l'annulation de la décision querellée, au sens de l'art. 382 al. 1 CPP.</w:t>
      </w:r>
    </w:p>
    <w:p>
      <w:r>
        <w:rPr>
          <w:b/>
        </w:rPr>
        <w:t>E. 1.2.1</w:t>
      </w:r>
    </w:p>
    <w:p>
      <w:r>
        <w:t>Conformément à l'art. 382 al. 1 CPP, toute partie qui a un intérêt juridiquement protégé à l'annulation ou à la modification de la décision querellée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ce qui est le cas du titulaire des comptes dont les avoirs et/ou la documentation y relative ont été séquestrés (art. 105 al. 1 let. f CPP) La loi soumet toutefois la qualité pour recourir à l'existence d'un intérêt juridiquement protégé à l'annulation ou à la modification de la décision litigieuse (art. 382 al. 1 CPP). Cet intérêt doit être actuel et pratique. De cette manière, les tribunaux sont assurés de trancher uniquement des questions concrètes et non de prendre des décisions à caractère théorique. Ainsi, une partie qui n'est pas concrètement lésée par la décision ne possède pas la qualité pour recourir et son recours est irrecevable (arrêt du Tribunal fédéral 1B_669/2012 du 12 mars 2013 consid.2.3.1).</w:t>
      </w:r>
    </w:p>
    <w:p>
      <w:r>
        <w:rPr>
          <w:b/>
        </w:rPr>
        <w:t>E. 1.2.2</w:t>
      </w:r>
    </w:p>
    <w:p>
      <w:r>
        <w:t>En l'espèce, le Ministère public a procédé au séquestre de comptes dont le recourant et sa société sont ou étaient titulaires auprès de trois banques. Or, il résulte de la documentation bancaire fournie par celles-ci que la relation auprès de la</w:t>
      </w:r>
    </w:p>
    <w:p>
      <w:r>
        <w:t>- 6/10 - P/14315/2020 F______ a été résiliée avant le séquestre et celle encore en vigueur auprès de [la banque] E______ présente un solde négatif. Il s'ensuit que les séquestres auprès de ces établissements n'ont pas porté, de sorte que le recourant n'a pas d'intérêt légitime, actuel et pratique à contester les ordonnances y relatives, étant relevé qu'il n'invoque, à cet égard, aucun préjudice (ACPR/509/2015 du 21 septembre 2015 consid. 1.4). Le recours est dès lors uniquement recevable en tant qu'il concerne le séquestre du compte bancaire auprès de D______ et la carte de crédit y relative.</w:t>
      </w:r>
    </w:p>
    <w:p>
      <w:r>
        <w:rPr>
          <w:b/>
        </w:rPr>
        <w:t>E. 2</w:t>
      </w:r>
    </w:p>
    <w:p>
      <w:r>
        <w:t>Le recourant invoque une violation de son droit d'être entendu.</w:t>
      </w:r>
    </w:p>
    <w:p>
      <w:r>
        <w:rPr>
          <w:b/>
        </w:rPr>
        <w:t>E. 2.1</w:t>
      </w:r>
    </w:p>
    <w:p>
      <w:r>
        <w:t>Le droit d'être entendu, consacré par l'art. 29 al. 2 Cst féd., impose à l'autorité de motiver sa décision, afin que le justiciable puisse en saisir la portée et, le cas échéant, l'attaquer en connaissance de cause. Il suffit que le juge mentionne, au moins brièvement, les motifs qui l'ont guidé et sur lesquels il a fondé sa décision. Dès lors que l'on peut discerner ces motifs, le droit d'être entendu est respecté (arrêt du Tribunal fédéral 6B_226/2019 du 29 mars 2019 consid. 2.1 et les références citées), même si la motivation retenue est erronée (arrêt du Tribunal fédéral 6B_518/2009 du 29 septembre 2009 consid. 2.5 in fine). La violation de droit d'être entendu peut cependant être réparée lorsque la partie lésée a la possibilité de s'exprimer devant une autorité de recours disposant d'un pouvoir d'examen complet quant aux faits et au droit.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 ATF 137 I 195 consid. 2.3.2) ou lorsqu'on ne voit pas quelle influence la violation du droit d'être entendu a pu avoir sur la procédure, il n'y a pas lieu d'annuler la décision attaquée (ATF 143 IV 380 consid. 1.4.1).</w:t>
      </w:r>
    </w:p>
    <w:p>
      <w:r>
        <w:rPr>
          <w:b/>
        </w:rPr>
        <w:t>E. 2.2</w:t>
      </w:r>
    </w:p>
    <w:p>
      <w:r>
        <w:t>En l'espèce, le Ministère public a reconnu, dans ses observations sur le recours, que le motif de séquestre invoqué dans l'ordonnance querellée était erroné, le séquestre étant fondé sur l'art. 263 al. 1 let. d CPP et non la let. b de cette disposition. La jurisprudence du Tribunal pénal fédéral invoquée par le recourant ne s'applique pas au cas d'espèce, puisque le but du séquestre ne s'est nullement modifié en cours de procédure. Le motif à l'origine de la mesure est le même, à savoir celui visé par l'art. 263 al. 1 let. d CPP, mais l'ordonnance querellée, en faisant référence au cas de séquestre de la let. b de cette disposition, l'a improprement qualifié.</w:t>
      </w:r>
    </w:p>
    <w:p>
      <w:r>
        <w:t>- 7/10 - P/14315/2020 Il s'ensuit que la motivation très sommaire et incorrecte de l'ordonnance querellée a pu être corrigée devant l'autorité de recours, laquelle dispose d'un plein pouvoir d'examen en fait et en droit (art. 391 al. 1 et 393 al. 2 CPP). Partant, la violation du droit d'être entendu du recourant a été réparée.</w:t>
      </w:r>
    </w:p>
    <w:p>
      <w:r>
        <w:rPr>
          <w:b/>
        </w:rPr>
        <w:t>E. 3</w:t>
      </w:r>
    </w:p>
    <w:p>
      <w:r>
        <w:t>Le recourant conteste l'existence de charges suffisantes à fonder un séquestre.</w:t>
      </w:r>
    </w:p>
    <w:p>
      <w:r>
        <w:rPr>
          <w:b/>
        </w:rPr>
        <w:t>E. 3.1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w:t>
      </w:r>
    </w:p>
    <w:p>
      <w:r>
        <w:rPr>
          <w:b/>
        </w:rPr>
        <w:t>E. 3.2</w:t>
      </w:r>
    </w:p>
    <w:p>
      <w:r>
        <w:t>Le séquestre d'objets et de valeurs patrimoniales appartenant au prévenu ou à des tiers figure au nombre des mesures prévues par la loi. Il peut être ordonné, notamment, lorsqu'il est probable qu'ils seront utilisés comme moyens de preuve (art. 263 al. 1 let. a CPP), qu'ils devront être restitués au lésé (art. 263 al. 1 let. c CPP), qu'ils devront être confisqués (art. 263 al. 1 let. d CPP) ou qu'ils pourraient servir à l'exécution d'une créance compensatrice (art. 71 al. 3 CP). Une telle mesure est fondée sur la vraisemblance (ATF 126 I 97 consid. 3d/aa p. 107 et les références citées);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140 IV 57 consid. 4.1.2 p. 64 et les références citées). Tant que l'instruction n'est pas achevée et que subsiste une probabilité de confiscation, de créance compensatrice ou d'une allocation au lésé, la mesure conservatoire doit être maintenue (ATF 141 IV 360 consid. 3.2 p. 364). L'intégralité des fonds doit demeurer à disposition de la justice aussi longtemps qu'il existe un doute sur la part de ceux-ci qui pourrait provenir d'une activité criminelle.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Les probabilités d'une confiscation, respectivement du prononcé d'une créance compensatrice, doivent cependant se renforcer au cours de l'instruction et doivent être régulièrement vérifiées par l'autorité compétente, avec une plus grande rigueur à mesure que l'enquête progresse (ATF 122 IV 91 consid. 4 p. 96).</w:t>
      </w:r>
    </w:p>
    <w:p>
      <w:r>
        <w:t>- 8/10 - P/14315/2020</w:t>
      </w:r>
    </w:p>
    <w:p>
      <w:r>
        <w:rPr>
          <w:b/>
        </w:rPr>
        <w:t>E. 3.3</w:t>
      </w:r>
    </w:p>
    <w:p>
      <w:r>
        <w:t>L'art. 70 al. 1 CP autorise le juge à confisquer des valeurs patrimoniales qui sont le résultat d'une infraction, si elles ne doivent pas être restituées au lésé en rétablissement de ses droits. Inspirée de l'adage selon lequel "le crime ne paie pas", la confiscation de valeurs patrimoniales qui sont le résultat d'une infraction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129 II 453 consid. 4.1; ATF 140 IV 57 consid. 4.1 et les nombreuses références citées). C'est en particulier le cas lorsque l'obtention des valeurs patrimoniales est l'un des éléments constitutifs de l'infraction ou constitue un avantage direct découlant de la commission de l'infraction (ATF 140 IV 57 consid. 4.1.1).</w:t>
      </w:r>
    </w:p>
    <w:p>
      <w:r>
        <w:rPr>
          <w:b/>
        </w:rPr>
        <w:t>E. 3.4</w:t>
      </w:r>
    </w:p>
    <w:p>
      <w:r>
        <w:t>En l'espèce, le recourant a requis et obtenu, en avril 2020, un prêt COVID de CHF 25'000.- sur la base d'un chiffre d'affaires annuel annoncé de CHF 256'000.- alors qu'il prétend lui-même que son chiffre d'affaires serait de l'ordre de CHF 80'000.-. En outre, au moment de la formulation de la demande, le recourant se trouvait en incapacité de travail complète, pour laquelle il percevait des indemnités journalières. Il a par ailleurs allégué avoir rencontré des problèmes de liquidités en début d'année, soit avant les mesures liées à la pandémie. Il mettait à cette même époque en place un commerce de montres entre la France et le Kosovo. Il s'ensuit qu'il existe, en l'état, des soupçons suffisants que le prêt COVID a été obtenu sur la base de fausses indications du recourant, de sorte que le séquestre du compte D______, sur lequel la ligne de crédit de CHF 25'000.- a été octroyée, est justifié. La mesure porte sur la créance du recourant à l'égard de D______, fondée sur le prêt COVID.</w:t>
      </w:r>
    </w:p>
    <w:p>
      <w:r>
        <w:rPr>
          <w:b/>
        </w:rPr>
        <w:t>E. 4</w:t>
      </w:r>
    </w:p>
    <w:p>
      <w:r>
        <w:t>Le recourant estime que le séquestre l'a privé de ses indemnités journalières, selon lui insaisissables. En l'occurrence, si le recourant a effectivement perçu CHF 1'268.- de la SUVA le 31 juillet 2020, l'extrait de compte établit que cette somme a été dépensée, entre son versement et le jour du séquestre, pour divers frais liés à son entretien, sans lien apparent avec sa société. Par conséquent, le séquestre n'a pas pu priver le recourant de ses indemnités journalières.</w:t>
      </w:r>
    </w:p>
    <w:p>
      <w:r>
        <w:rPr>
          <w:b/>
        </w:rPr>
        <w:t>E. 5</w:t>
      </w:r>
    </w:p>
    <w:p>
      <w:r>
        <w:t>Par conséquent, le séquestre du compte de G______ Sàrl auprès de D______, qui porte sur le solde de la ligne de crédit – soit -CHF 852.- (25'000 - CHF 24'148) au jour du séquestre –, est fondé, ainsi que celui de la carte bancaire y relative.</w:t>
      </w:r>
    </w:p>
    <w:p>
      <w:r>
        <w:t>- 9/10 - P/14315/2020</w:t>
      </w:r>
    </w:p>
    <w:p>
      <w:r>
        <w:rPr>
          <w:b/>
        </w:rPr>
        <w:t>E. 6</w:t>
      </w:r>
    </w:p>
    <w:p>
      <w:r>
        <w:t>Justifiée, les ordonnances querellées seront donc confirmées, par substitution de motifs.</w:t>
      </w:r>
    </w:p>
    <w:p>
      <w:r>
        <w:rPr>
          <w:b/>
        </w:rPr>
        <w:t>E. 7</w:t>
      </w:r>
    </w:p>
    <w:p>
      <w:r>
        <w:t>Conformément à la proposition du Ministère public, les frais de la procédure de recours seront laissés à la charge de l'État.</w:t>
      </w:r>
    </w:p>
    <w:p>
      <w:r>
        <w:rPr>
          <w:b/>
        </w:rPr>
        <w:t>E. 8</w:t>
      </w:r>
    </w:p>
    <w:p>
      <w:r>
        <w:t>Le recourant réclame des frais de procédure en CHF 3'643.49. Il perd toutefois de vue qu'étant au bénéfice d'une défense d'office, selon l'art. 132 CPP, le tarif horaire pour la rémunération de son défenseur est celui prévu à l'art. 16 RAJ et non celui pratiqué par son conseil. Quoi qu'il en soit, il n'y a, à ce stade de la procédure (cf. art. 135 al. 2 CPP), pas lieu d'indemniser le défenseur d'office. * * * * *</w:t>
      </w:r>
    </w:p>
    <w:p>
      <w:r>
        <w:t>- 10/10 - P/14315/2020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