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ACPR/857/2017 vom 22. August 2017</w:t>
      </w:r>
    </w:p>
    <w:p>
      <w:r>
        <w:t>GE Cour de justice, 2017-08-22, FR</w:t>
      </w:r>
    </w:p>
    <w:p>
      <w:r>
        <w:rPr>
          <w:b/>
        </w:rPr>
        <w:t xml:space="preserve">Quelle: </w:t>
      </w:r>
      <w:r>
        <w:t>https://mcp.opencaselaw.ch/entscheid/ge_gerichte_ACPR_857_2017</w:t>
      </w:r>
    </w:p>
    <w:p>
      <w:r>
        <w:t>FR: GE_GERICHTE ACPR/857/2017 du 22 août 2017</w:t>
      </w:r>
    </w:p>
    <w:p>
      <w:r>
        <w:t>IT: GE_GERICHTE ACPR/857/2017 del 22 agosto 2017</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On peut tout d'abord se demander si la requête de report de l'audience n'était pas, juridiquement, une demande de restitution de délai, ou terme, au sens de l'art. 94 CPP.</w:t>
      </w:r>
    </w:p>
    <w:p>
      <w:r>
        <w:t>- 5/9 - P/3479/2016 Lors de l'audience du 22 août 2017, à laquelle le recourant a fait défaut, son avocat a en effet demandé au Ministère public le report de l'audience à une date ultérieure, expliquant que le prévenu avait été arrêté à Chiasso la veille au soir, alors qu'il était en route vers Genève, pour comparaître. Le conseil du prévenu a déclaré qu'il ferait parvenir tout document permettant d'établir les motifs de l'absence, ce qu'il a – partiellement – fait le 28 août suivant. Quoi qu'il en soit, le conseil du recourant n'ayant pas clairement formulé sa demande lors de l'audience, pas plus que dans son courrier ultérieur du 28 août 2017, on ne saurait reprocher au Ministère public de ne pas avoir examiné si les conditions d'une restitution de terme, au sens de la disposition précitée, étaient réunies.</w:t>
      </w:r>
    </w:p>
    <w:p>
      <w:r>
        <w:rPr>
          <w:b/>
        </w:rPr>
        <w:t>E. 3</w:t>
      </w:r>
    </w:p>
    <w:p>
      <w:r>
        <w:t>Le recourant reproche au Ministère public d'avoir considéré comme non excusé son défaut à l'audience du 22 août 2017.</w:t>
      </w:r>
    </w:p>
    <w:p>
      <w:r>
        <w:rPr>
          <w:b/>
        </w:rPr>
        <w:t>E. 3.1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w:t>
      </w:r>
    </w:p>
    <w:p>
      <w:r>
        <w:t>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 Ch. DENYS, Ordonnance pénale : questions choisies et jurisprudence récente, in SJ 2016 II p. 125ss, 133).</w:t>
      </w:r>
    </w:p>
    <w:p>
      <w:r>
        <w:t>Le retrait de l'opposition à l'ordonnance pénale doit être clair et sans ambiguïté. Un retrait tacite de l'opposition n'est pas admissible, sauf lorsque la loi prévoit une fiction de retrait (art. 355 al. 2 et 356 al. 4 CPP).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w:t>
      </w:r>
    </w:p>
    <w:p>
      <w:r>
        <w:t>- 6/9 - P/3479/2016 6B_152/2013 précité consid. 4.3 ss ; ACPR/449/2012 du 19 octobre 2012 et 536/2012 du 29 novembre 2012 ; ACPR/232/2014 du 6 mai 2014).</w:t>
      </w:r>
    </w:p>
    <w:p>
      <w:r>
        <w:rPr>
          <w:b/>
        </w:rPr>
        <w:t>E. 3.2</w:t>
      </w:r>
    </w:p>
    <w:p>
      <w:r>
        <w:t>L’art. 355 al. 2 CPP ne précise toutefois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w:t>
      </w:r>
    </w:p>
    <w:p>
      <w:r>
        <w:t>La doctrine mentionne, comme motifs d’excuse, la maladie, le service militaire ou l’absence à l’étranger (N. SCHMID, Schweizerische Strafprozessordnung : Praxiskommentar, 2e éd., Zurich 2013,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t>L’empêchement doit être porté à la connaissance de l’autorité pénale sans délai et, dans la mesure du possible, avant la survenance de l’acte de procédure visé (A. KUHN / Y. JEANNERET (éds), op. cit., Bâle 2011, n. 4 ad art. 205).</w:t>
      </w:r>
    </w:p>
    <w:p>
      <w:r>
        <w:rPr>
          <w:b/>
        </w:rPr>
        <w:t>E. 3.3</w:t>
      </w:r>
    </w:p>
    <w:p>
      <w:r>
        <w:t>En l'espèce, il n'est pas contesté que le recourant a eu connaissance du mandat de comparution et des conséquences d'une éventuelle absence non excusée à l'audience du 22 août 2017.</w:t>
      </w:r>
    </w:p>
    <w:p>
      <w:r>
        <w:t>Il ressort des pièces au dossier que le recourant a pris, le 21 août 2017, le train de 20 heures 10, à la gare de Milan, train qui devait arriver à 21 heures 56 à Bellinzona, où il y avait un dernier train – à 22 heures 13 – pour Genève, avec une arrivée à</w:t>
      </w:r>
    </w:p>
    <w:p>
      <w:r>
        <w:rPr>
          <w:b/>
        </w:rPr>
        <w:t>E. 6</w:t>
      </w:r>
    </w:p>
    <w:p>
      <w:r>
        <w:t>Le recourant, au bénéfice d'une défense d'office, requiert le versement d'une indemnité de procédure de CHF 486.- "correspondant à 3 heures d'activité d'un avocat stagiaire".</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(E 2 05.04; RAJ).</w:t>
      </w:r>
    </w:p>
    <w:p>
      <w:r>
        <w:t>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 constitutionnalité de ce tarif a été admise par le</w:t>
      </w:r>
    </w:p>
    <w:p>
      <w:r>
        <w:t>- 8/9 - P/3479/2016 Tribunal fédéral, en tant du moins qu'il détermine la rémunération horaire du chef d'étude (ACPR/491/2013 du 1er novembre 2013 ; SJ 2012 I 172 consid. 2.4. p. 174).</w:t>
      </w:r>
    </w:p>
    <w:p>
      <w:r>
        <w:t>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 J. PITTELOUD, Code de procédure pénale suisse - Commentaire à l’usage des praticiens, Zurich/St-Gall 2012, n. 1350 p. 889). Lesdites heures sont appréciées en fonction notamment de la nature, de l'importance, et des difficultés de la cause, de la valeur litigieuse, de la qualité du travail fourni et du résultat obtenu (art. 16 al. 2 RAJ). L'autorité cantonale dispose d'un large pouvoir d'appréciation dans la fixation de l'indemnité du défenseur d'office (ATF 141 I 124 consid. 3.2; arrêt du Tribunal fédéral 6B_838/2015 du 25 juillet 2016, consid. 3.2). Les directives du greffe sont applicables pour le surplus (art. 17 RAJ).</w:t>
      </w:r>
    </w:p>
    <w:p>
      <w:r>
        <w:rPr>
          <w:b/>
        </w:rPr>
        <w:t>E. 6.2</w:t>
      </w:r>
    </w:p>
    <w:p>
      <w:r>
        <w:t>En l'espèce, l'activité facturée par le défenseur du recourant pour la rédaction du recours, soit trois heures, est correcte. En revanche, elle doit être facturée à CHF 65.- l'heure, puisqu'elle a été effectuée par l'avocat stagiaire, comme cela ressort tant du recours que de la signature apposée au bas de celui-ci.</w:t>
      </w:r>
    </w:p>
    <w:p>
      <w:r>
        <w:t>On peut ajouter à cette activité trente minutes pour la rédaction de la réplique, tenant sur deux pages, par un avocat chef d'étude, soit CHF 100.- (CHF 200.- x ½ heure). L'allocation d'un forfait n'est ni justifié en procédure de recours ni demandée. La TVA sera ajoutée. En conclusion, le défenseur du recourant se verra allouer une indemnité de CHF 320.- (arrondi) TTC. * * * * *</w:t>
      </w:r>
    </w:p>
    <w:p>
      <w:r>
        <w:t>- 9/9 - P/3479/2016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