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ACPR/856/2025 vom 6. September 2025</w:t>
      </w:r>
    </w:p>
    <w:p>
      <w:r>
        <w:t>GE Cour de justice, 2025-09-06, FR</w:t>
      </w:r>
    </w:p>
    <w:p>
      <w:r>
        <w:rPr>
          <w:b/>
        </w:rPr>
        <w:t xml:space="preserve">Quelle: </w:t>
      </w:r>
      <w:r>
        <w:t>https://mcp.opencaselaw.ch/entscheid/ge_gerichte_ACPR_856_2025</w:t>
      </w:r>
    </w:p>
    <w:p>
      <w:r>
        <w:t>FR: GE_GERICHTE ACPR/856/2025 du 6 septembre 2025</w:t>
      </w:r>
    </w:p>
    <w:p>
      <w:r>
        <w:t>IT: GE_GERICHTE ACPR/856/2025 del 6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- 4/8 - P/20152/2025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- 5/8 - P/20152/2025 À cet égard, il existe des indices sérieux et concrets de la commission, par le recourant, de tels actes punissables. En effet, il a été condamné à cinq reprises (les 21 juin, 8 août et 18 décembre 2013; les 27 août et 12 septembre 2019), pour des délits contre la loi sur les stupéfiants (LStup), soit des agissements qui dépassent le stade de la simple consommation personnelle, pour laquelle il a été en outre condamné à plusieurs reprises (les 21 juin, 8 août et</w:t>
      </w:r>
    </w:p>
    <w:p>
      <w:r>
        <w:rPr>
          <w:b/>
        </w:rPr>
        <w:t>E. 6</w:t>
      </w:r>
    </w:p>
    <w:p>
      <w:r>
        <w:t>Corrélativement, aucun dépens ne lui est dû (ATF 144 IV 207 consid. 1.8.2). * * * * *</w:t>
      </w:r>
    </w:p>
    <w:p>
      <w:r>
        <w:t>- 7/8 - P/20152/2025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