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ACPR/854/2019 vom 9. Mai 2019</w:t>
      </w:r>
    </w:p>
    <w:p>
      <w:r>
        <w:t>GE Cour de justice, 2019-05-09, FR</w:t>
      </w:r>
    </w:p>
    <w:p>
      <w:r>
        <w:rPr>
          <w:b/>
        </w:rPr>
        <w:t xml:space="preserve">Quelle: </w:t>
      </w:r>
      <w:r>
        <w:t>https://mcp.opencaselaw.ch/entscheid/ge_gerichte_ACPR_854_2019</w:t>
      </w:r>
    </w:p>
    <w:p>
      <w:r>
        <w:t>FR: GE_GERICHTE ACPR/854/2019 du 9 mai 2019</w:t>
      </w:r>
    </w:p>
    <w:p>
      <w:r>
        <w:t>IT: GE_GERICHTE ACPR/854/2019 del 9 maggio 2019</w:t>
      </w:r>
    </w:p>
    <w:p>
      <w:pPr>
        <w:pStyle w:val="Heading2"/>
      </w:pPr>
      <w:r>
        <w:t>Erwägungen</w:t>
      </w:r>
    </w:p>
    <w:p>
      <w:r>
        <w:rPr>
          <w:b/>
        </w:rPr>
        <w:t>E. 1</w:t>
      </w:r>
    </w:p>
    <w:p>
      <w:r>
        <w:t>Les deux recours déposés céans sont dirigés contre la même décision, concernent des faits de même nature – soit des séquestres rendus dans la P/17386/2018 – et portent, entre autres, sur une question juridique commune – i.e. l'existence de soupçons suffisants laissant présager la commission d'une infraction par A______ –. Il se justifie, par conséquent, de les joindre et de les traiter en un seul arrêt.</w:t>
      </w:r>
    </w:p>
    <w:p>
      <w:r>
        <w:rPr>
          <w:b/>
        </w:rPr>
        <w:t>E. 2.1</w:t>
      </w:r>
    </w:p>
    <w:p>
      <w:r>
        <w:t>Les recours sont recevables pour avoir été déposés selon la forme et dans le délai prescrits (art. 385 al. 1 et 396 al. 1 CPP), concerner une ordonnance de séquestre</w:t>
      </w:r>
    </w:p>
    <w:p>
      <w:r>
        <w:t>- 9/17 - P/17386/2018 sujette à contestation auprès de la Chambre de céans (art. 393 al. 1 let. a CPP), et émaner tant du prévenu (art. 104 al. 1 let. a CPP) que du tiers saisi (art. 105 al. 1 let. f CPP), lesquels ont qualité pour agir, ayant un intérêt juridiquement protégé à l'annulation ou à la modification de cette décision (art. 382 al. 1 CPP).</w:t>
      </w:r>
    </w:p>
    <w:p>
      <w:r>
        <w:rPr>
          <w:b/>
        </w:rPr>
        <w:t>E. 2.2</w:t>
      </w:r>
    </w:p>
    <w:p>
      <w:r>
        <w:t>Il en va de même pour l'ensemble des pièces nouvelles produites (arrêts du Tribunal fédéral 1B_368/2014 du 5 février 2015 consid. 3.1 et 3.2 ainsi que 1B_768/2012 du 15 janvier 2013 consid. 2.1).</w:t>
      </w:r>
    </w:p>
    <w:p>
      <w:r>
        <w:rPr>
          <w:b/>
        </w:rPr>
        <w:t>E. 3</w:t>
      </w:r>
    </w:p>
    <w:p>
      <w:r>
        <w:t>Les recourants dénoncent une violation de leur droit d'être entendus.</w:t>
      </w:r>
    </w:p>
    <w:p>
      <w:r>
        <w:rPr>
          <w:b/>
        </w:rPr>
        <w:t>E. 3.1</w:t>
      </w:r>
    </w:p>
    <w:p>
      <w:r>
        <w:t>L'art. 29 al. 2 Cst féd. garantit au justiciable le droit d'accéder au dossier (arrêt du Tribunal fédéral 1B_440/2018 du 28 janvier 2019 consid. 3.1), respectivement celui de bénéficier d'une décision motivée, motivation qui est considérée comme suffisante lorsque l'autorité mentionne, au moins brièvement, les motifs qui l'ont guidée et sur lesquels elle s'est fondée, de manière à ce que le destinataire puisse se rendre compte de la portée de celle-ci et l'attaquer en connaissance de cause (arrêt du Tribunal fédéral 6B_1251/2016 du 19 juillet 2017 consid. 3.1). Le droit d'être entendu est une garantie de nature formelle, dont la violation entraîne, en principe, l'annulation de la décision attaquée.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l'intéressé; cela étant, une réparation peut également se justifier, même en présence d'un vice grave, lorsque le renvoi à l'instance inférieure constituerait une vaine formalité et aboutirait à un allongement inutile de la procédure, ce qui serait incompatible avec l'intérêt de la partie concernée à ce que sa cause soit tranchée dans un délai raisonnable (ATF 142 II 218 consid. 2.8.1; arrêt du Tribunal fédéral 6B_1251/2016 précité).</w:t>
      </w:r>
    </w:p>
    <w:p>
      <w:r>
        <w:rPr>
          <w:b/>
        </w:rPr>
        <w:t>E. 3.2</w:t>
      </w:r>
    </w:p>
    <w:p>
      <w:r>
        <w:t>En l'espèce, la motivation fournie par le Ministère public à l'appui des saisies litigieuses est quasiment inexistante. Pour autant, A______ (ci-après le recourant) et B______ LTD (ci-après la recourante) – dont le précité est administrateur – connaissaient, le jour où ils ont reçu la décision entreprise, les charges détaillées qui pesaient contre le premier – lequel s'est longuement exprimé à leur sujet lors d'une audience – et, partant, le contexte dans lequel les séquestres s'inscrivaient. La recourante savait, de surcroît, que ses avoirs étaient saisis au motif que le recourant en serait l'ayant droit économique, cette précision figurant dans la décision querellée. Ces parties apparaissaient donc à même d'attaquer utilement l'ordonnance entreprise. La question n'a toutefois pas besoin d'être examinée plus avant, le grief devant être rejeté pour d'autres raisons. En effet, le Ministère public a, dans ses observations, exposé les motifs qui l'ont amené à considérer que sa décision était justifiée. Les recourants ont, pour leur part,</w:t>
      </w:r>
    </w:p>
    <w:p>
      <w:r>
        <w:t>- 10/17 - P/17386/2018 eu l'occasion, dans leurs déterminations subséquentes, de se prononcer exhaustivement à cet égard. Par ailleurs, le recourant a eu accès au dossier actualisé avant de rédiger sa réplique. La Chambre de céans disposant d'un plein pouvoir d'examen (art. 393 al. 2 CPP), il apparaîtrait contraire à l'économie de procédure et au principe de célérité de renvoyer la cause au Procureur afin qu'il rende une ordonnance motivée – d'une teneur similaire à ses observations –, décision qui ne manquerait pas d'être à nouveau frappée de recours, pour les mêmes griefs que ceux présentement soulevés. Du reste, le renvoi de la cause au Ministère public constituerait une vaine formalité, au vu des considérations qui suivent.</w:t>
      </w:r>
    </w:p>
    <w:p>
      <w:r>
        <w:rPr>
          <w:b/>
        </w:rPr>
        <w:t>E. 4</w:t>
      </w:r>
    </w:p>
    <w:p>
      <w:r>
        <w:t>Le recourant conteste le bien-fondé du séquestre de la relation bancaire n° 1______.</w:t>
      </w:r>
    </w:p>
    <w:p>
      <w:r>
        <w:rPr>
          <w:b/>
        </w:rPr>
        <w:t>E. 4.1</w:t>
      </w:r>
    </w:p>
    <w:p>
      <w:r>
        <w:t>Il nie l'existence d'une infraction, subsidiairement toute implication dans la commission de celle-ci.</w:t>
      </w:r>
    </w:p>
    <w:p>
      <w:r>
        <w:rPr>
          <w:b/>
        </w:rPr>
        <w:t>E. 4.1.1</w:t>
      </w:r>
    </w:p>
    <w:p>
      <w:r>
        <w:t>Conformément à l'art. 197 al. 1 let. b CPP, les mesures de contrainte – au nombre desquelles figure le séquestre – doivent répondre à l'existence de soupçons suffisants laissant présumer une infraction. L'art. 158 CP (gestion déloyale) punit le gérant d'affaires qui, en agissant avec ou sans mandat, viole les devoirs auxquels il est tenu et, ce faisant, porte atteinte aux intérêts pécuniaires qu'il est chargé de protéger (arrêt du Tribunal fédéral 6B_514/2009 du 29 septembre 2009 consid. 5.1). L'auteur encourt une peine plus élevée s'il a agi dans un dessein d'enrichissement illégitime, pour autrui ou pour lui- même (al. 1 ch. 3). Le trust est un rapport juridique dans lequel le constituant (settlor) confie des biens patrimoniaux à un trustee, afin que ce dernier les gère dans l'intérêt d'un ou de plusieurs bénéficiaires, selon les termes de l'acte de trust (ATF 143 II 350 consid. 3.1 et 4.1; arrêt du Tribunal fédéral 6B_1051/2018 du 19 décembre 2018 consid. 1.2.2). Celui qui gère l'affaire d'autrui sans mandat est tenu de le faire conformément aux intérêts et intentions présumables du maître (art. 419 CO).</w:t>
      </w:r>
    </w:p>
    <w:p>
      <w:r>
        <w:rPr>
          <w:b/>
        </w:rPr>
        <w:t>E. 4.1.2</w:t>
      </w:r>
    </w:p>
    <w:p>
      <w:r>
        <w:t>En matière de séquestre pénal, l'autorité statue sous l'angle de la vraisemblance, examinant des prétentions encore incertaines. Il s'agit, en effet, d'une mesure provisoire. L'autorité doit pouvoir statuer rapidement (cf. art. 263 al. 2 CPP), ce qui exclut qu'elle résolve des questions juridiques complexes ou qu'elle attende d'être renseignée de manière exacte et complète sur les faits avant d'agir (ATF 141 IV 360 consid. 3.2; arrêt du Tribunal fédéral 1B_59/2019 précité). Au début de l'enquête, un soupçon crédible ou un début de preuve de l'existence de l'infraction reprochée suffit à ordonner le séquestre, ce qui laisse une grande place à l'appréciation du juge. On exige toutefois que ce soupçon se renforce au cours de</w:t>
      </w:r>
    </w:p>
    <w:p>
      <w:r>
        <w:t>- 11/17 - P/17386/2018 l'instruction pour justifier le maintien de la mesure (A. KUHN/Y. JEANNERET (éds), Commentaire romand : Code de procédure pénale suisse, Bâle 2011, n. 17, 22 et 25 ad art. 263).</w:t>
      </w:r>
    </w:p>
    <w:p>
      <w:r>
        <w:rPr>
          <w:b/>
        </w:rPr>
        <w:t>E. 4.1.3</w:t>
      </w:r>
    </w:p>
    <w:p>
      <w:r>
        <w:t>En l'espèce, le recourant conteste que la cession de 50% des actions de Q______ SA à I______ SA puisse être constitutive, notamment, de gestion déloyale. Dite cession est intervenue à une époque (le 3 avril 2018) où M______ LTD – soit pour elle L______ SA, soit pour cette société ses administrateurs (inscrits au RC ou de fait; art. 29 CP) – n'était vraisemblablement plus le trustee de O______ (cf. ACPR/501/2019), V______ LTD lui ayant succédé à fin mars 2018. Il convient donc de déterminer si un gérant d'affaire (a priori sans mandat) avisé aurait également procédé à cette cession, le cas échéant aux mêmes conditions – étant relevé que l'art. 419 CO (art. 117 al. 2 et al. 3 let. c LDIP) paraît applicable, en l'absence d'élection d'un autre droit alléguée/rendue vraisemblable par les parties en lien avec une gestion sans mandat –. Or, tel n'apparaît, prima facie, pas être le cas, l'acte incriminé semblant privilégier les intérêts de I______ SA au détriment du trust. En effet, la cession revient à conférer à la société, en l'état des données figurant au dossier, un actif de l'ordre de GBP 11.25 millions (portfolio immobilier de GBP 60 millions au début 2018 - GBP 25 millions de dette à rembourser à T______ LTD - GBP 12.5 millions empruntés auprès de S______ PLC = GBP 22.5 millions/2, I______ SA étant titulaire de la moitié des actions) en contrepartie des GBP 8 ou 8,9 millions initialement investis, largesse qui ne concorde guère avec une gestion diligente du patrimoine de O______. Elle revient, surtout, à conférer à I______ SA un statut dont cette société n'a jamais disposé jusqu'alors au sein de Q______ SA, soit celui d'actionnaire, respectivement les prérogatives y relatives (droits de vote/aux dividendes/d'emption, etc.). La cession paraît donc excéder sensiblement son but allégué, à savoir la formalisation d'une situation préexistante. Enfin, les intentions et/ou instructions résultant des courriels de P______ – citées, pour certaines, par J______ en vue de justifier l'émission litigieuse des titres – sont sans pertinence pour l'issue du litige, la gestion (avec ou sans mandat) d'un trust n'étant nullement du ressort d'un bénéficiaire. En effet, ce dernier ne dispose, généralement, ni de la possession ni de la jouissance du capital du trust, mais tout au plus d'une expectative à en obtenir la distribution par le legal owner (B. VISCHER/J. WYNNE, La notion de trust en droit suisse, Fiche juridique suisse n° 20, juin 2013, § 3.3, en particulier ndb n° 59 in fine). Il existe donc, à ce stade, des soupçons suffisants d'une infraction contre le patrimoine, singulièrement d'une transgression d'un devoir de gestion (a priori sans mandat).</w:t>
      </w:r>
    </w:p>
    <w:p>
      <w:r>
        <w:t>- 12/17 - P/17386/2018</w:t>
      </w:r>
    </w:p>
    <w:p>
      <w:r>
        <w:rPr>
          <w:b/>
        </w:rPr>
        <w:t>E. 4.1.4</w:t>
      </w:r>
    </w:p>
    <w:p>
      <w:r>
        <w:t>Reste à déterminer si le recourant a été impliqué dans la commission de cette potentielle infraction.</w:t>
      </w:r>
    </w:p>
    <w:p>
      <w:r>
        <w:t>Bien que les trois prévenus le contestent, leurs dénégations n'emportent, à ce stade, pas conviction.</w:t>
      </w:r>
    </w:p>
    <w:p>
      <w:r>
        <w:t>En effet, le recourant semble avoir joué un rôle d'une certaine importance dans L______ SA, dès lors qu'il s'est lui-même qualifié d'administrateur de cette entité (jusqu'à fin 2017) – de fait, puisqu'il n'a jamais été inscrit en cette qualité au RC – et que P______ l'a perçu comme étant le "patron" des autres mis en cause. Son influence semble avoir perduré en 2018, l'intéressé ayant notamment participé à une séance qui réunissait, en janvier de cette même année, le prénommé et U______. De surcroît, ses allégués selon lesquels il n'aurait été impliqué dans la gestion ni de O______ ni de I______ SA contrastent sensiblement avec sa parfaite connaissance, tant des investissements/prêt consentis par la seconde aux sociétés détenues par le trust qu'aux principe et degré d'implication de F______ dans l'octroi ceux-ci. En outre, le recourant était incontestablement au fait de l'existence de démarches pour tenter de formaliser le "partnership" entre Q______ SA et I______ SA, puisqu'il a étudié des projets de modification de l'acte constitutif de cette dernière société (en 2013 et 2014), respectivement qu'il a assisté à une séance au cours de laquelle il avait "été question de deux actionnaires qui détenaient chacun 50%" de Q______ SA (en 2018). S'ajoute à ces éléments le fait que le recourant et K______ ont tous deux déclaré que I______ SA aurait pu "s'en pren[dre] à L______ SA" si les actions litigieuses n'avaient pas été émises, ce qui permet d'inférer qu'ils ont évoqué ensemble cette situation. Enfin et surtout, l'opération litigieuse aurait profité, si l'on en croit le recourant, non à F______ mais à I______ SA, société dont il est l'ultime détenteur. Dans ces circonstances, il appert, en l'état, vraisemblable que le recourant a pu être impliqué – à un degré ou à un autre (co-auteur/participant) – dans la commission d'une infraction de gestion déloyale.</w:t>
      </w:r>
    </w:p>
    <w:p>
      <w:r>
        <w:rPr>
          <w:b/>
        </w:rPr>
        <w:t>E. 4.2</w:t>
      </w:r>
    </w:p>
    <w:p>
      <w:r>
        <w:t>Le recourant conteste, ensuite, le caractère proportionné de la mesure.</w:t>
      </w:r>
    </w:p>
    <w:p>
      <w:r>
        <w:rPr>
          <w:b/>
        </w:rPr>
        <w:t>E. 4.2.1</w:t>
      </w:r>
    </w:p>
    <w:p>
      <w:r>
        <w:t>Un séquestre est proportionné (art. 197 al. 1 let. d CPP) lorsqu'il porte sur des avoirs dont on peut admettre qu'ils pourront être vraisemblablement confisqués en application du droit pénal. Il ne peut être levé que s'il est d'emblée manifeste et indubitable que les conditions matérielles d'une confiscation/d'une créance compensatrice ne sont pas réalisées et ne pourront l'être (ATF 140 IV 133 consid. 4.2.1; arrêt du Tribunal fédéral 1B_92/2018 du 5 juillet 2018 consid. 2.2).</w:t>
      </w:r>
    </w:p>
    <w:p>
      <w:r>
        <w:t>- 13/17 - P/17386/2018</w:t>
      </w:r>
    </w:p>
    <w:p>
      <w:r>
        <w:rPr>
          <w:b/>
        </w:rPr>
        <w:t>E. 4.2.2</w:t>
      </w:r>
    </w:p>
    <w:p>
      <w:r>
        <w:t>La finalité des art. 70 (confiscation) et 71 (créance compensatrice) CP est d'ôter à l'auteur (ou à un tiers bénéficiaire) toute rentabilité à l'infraction commise. C'est donc la suppression de l'avantage financier résultant de l'activité illicite qui est visée, que l'auteur/le tiers dispose toujours de cet avantage – auquel cas une confiscation est envisageable – ou que l'intéressé n'en dispose plus (parce qu'il l'a aliéné, etc.) – hypothèse qui justifie alors le prononcé d'une mesure de substitution à la confiscation, i.e. la créance compensatrice – (L. MOREILLON/Y. NICOLET, La créance compensatrice, in RPS 135 (2017), p. 417 et p. 419). En raison de son caractère subsidiaire, la créance compensatrice ne peut donc être ordonnée que si, dans l'hypothèse où les valeurs patrimoniales provenant de l'infraction auraient été disponibles, la confiscation eût été prononcée (arrêt du Tribunal fédéral 1B_307/2017 du 16 octobre 2017 consid. 5.2). L'avantage illicite – obtenu directement ou indirectement au moyen de l'infraction – doit, pour être saisissable, avoir une valeur économique; il peut revêtir la forme d'une augmentation de l'actif, d'une diminution du passif, d'une non-diminution de l'actif ou d'une non-augmentation du passif (ATF 144 IV 1 consid. 4.2.2; arrêt du Tribunal fédéral 6B_122/2017 du 8 janvier 2019 consid. 18.3; L. MOREILLON/ Y. NICOLET, op. cit., p. 419 et p. 427).</w:t>
      </w:r>
    </w:p>
    <w:p>
      <w:r>
        <w:rPr>
          <w:b/>
        </w:rPr>
        <w:t>E. 4.2.3</w:t>
      </w:r>
    </w:p>
    <w:p>
      <w:r>
        <w:t>En l'espèce, statuer sur le caractère proportionné du séquestre implique de déterminer si le recourant a personnellement retiré un avantage économique de l'émission des actions litigieuses, le cas échéant dans quelle mesure. À en croire cette partie, ladite émission aurait profité à I______ SA, F______ n'ayant aucun lien financier avec la société. Dans ces circonstances, le prévenu pourrait avoir été enrichi, à tout le moins indirectement. En effet, les actifs et prérogatives de I______ SA ayant augmenté, il en est très vraisemblablement allé de même de la valeur de ses actions et, partant, de la fortune des personnes qui la détiennent, à savoir ultimement le recourant. La rémunération de ce dernier en qualité de trustee de la H______ FOUNDATION pourrait également être plus élevée, l'intéressé ayant in fine davantage de biens à gérer. Le prononcé d'une éventuelle future mesure (art. 70/71 CP) ne peut donc être exclu, à ce stade. Aussi, le Ministère public investiguera-t-il le principe et la quotité d'un éventuel enrichissement du prévenu. Dans l'intervalle, l'intégralité des fonds doit demeurer à disposition de la justice. Le séquestre attaqué est donc, en l'état, proportionné, étant relevé que l'affirmation du recourant selon laquelle il n'entend pas soustraire ses avoirs à la procédure est impropre à garantir les éventuelles futures prétentions de l’État. Infondé, le recours de A______ doit être rejeté.</w:t>
      </w:r>
    </w:p>
    <w:p>
      <w:r>
        <w:rPr>
          <w:b/>
        </w:rPr>
        <w:t>E. 5</w:t>
      </w:r>
    </w:p>
    <w:p>
      <w:r>
        <w:t>La recourante conteste le séquestre frappant la relation bancaire n° 2______.</w:t>
      </w:r>
    </w:p>
    <w:p>
      <w:r>
        <w:t>- 14/17 - P/17386/2018</w:t>
      </w:r>
    </w:p>
    <w:p>
      <w:r>
        <w:rPr>
          <w:b/>
        </w:rPr>
        <w:t>E. 5.1</w:t>
      </w:r>
    </w:p>
    <w:p>
      <w:r>
        <w:t>En application des principes exposés au considérant 4.2.2. ci-dessus, l'on ne saurait retenir à ce stade – et cela n'est pas allégué – que la recourante aurait été enrichie du chef de l'émission litigieuse des actions en faveur de I______ SA. Le séquestre entrepris ne peut donc se justifier sous cet angle.</w:t>
      </w:r>
    </w:p>
    <w:p>
      <w:r>
        <w:rPr>
          <w:b/>
        </w:rPr>
        <w:t>E. 5.2</w:t>
      </w:r>
    </w:p>
    <w:p>
      <w:r>
        <w:t>Reste à déterminer s'il pourrait l'être au regard du principe de la transparence (Durchgriff).</w:t>
      </w:r>
    </w:p>
    <w:p>
      <w:r>
        <w:rPr>
          <w:b/>
        </w:rPr>
        <w:t>E. 5.2.1</w:t>
      </w:r>
    </w:p>
    <w:p>
      <w:r>
        <w:t>Selon ce principe, l'on ne peut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détenteur, qui, économiquement, ne fait qu'un avec elle (ATF 144 III 541 consid. 8.3.1).</w:t>
      </w:r>
    </w:p>
    <w:p>
      <w:r>
        <w:rPr>
          <w:b/>
        </w:rPr>
        <w:t>E. 5.2.2</w:t>
      </w:r>
    </w:p>
    <w:p>
      <w:r>
        <w:t>La question du Durchgriff s'examine à l'aune du droit applicable à la société (art. 154 LDIP) ou au trust (art. 149c LDIP) concerné (ATF 128 III 346 consid. 3.1; arrêt du Tribunal fédéral 5A_436/2011 du 12 avril 2012 consid. 9.3.1 et 9.3.2).</w:t>
      </w:r>
    </w:p>
    <w:p>
      <w:r>
        <w:t>Il y a sham trust – i.e. un trust simulé et, partant, nul (B. VISCHER/J. WYNNE, op. cit., § 2.6) – lorsque le settlor utilise cette institution de manière artificielle; tel est le cas s'il conserve, de fait, les pouvoirs sur les biens en trust (arrêt du Tribunal fédéral 5A_436/2011 précité, consid. 9.3.1).</w:t>
      </w:r>
    </w:p>
    <w:p>
      <w:r>
        <w:rPr>
          <w:b/>
        </w:rPr>
        <w:t>E. 5.2.3</w:t>
      </w:r>
    </w:p>
    <w:p>
      <w:r>
        <w:t>Dans les causes régies par la procédure sommaire, il est admis que le juge puisse appliquer le droit suisse en lieu et place du droit étranger qui serait topique au fond (en matière de séquestre LP : arrêt du Tribunal fédéral 5A_60/2013 du 27 mai 2013 consid. 3.2.1.2; en matière de mesures provisoires rendues dans une procédure de divorce : arrêt du Tribunal fédéral 2A_259/2010 du 26 avril 2012 consid. 7.3.2.2 in medio [affaire où il était question d'une possible application du Durchgriff à un trust grec]).</w:t>
      </w:r>
    </w:p>
    <w:p>
      <w:r>
        <w:rPr>
          <w:b/>
        </w:rPr>
        <w:t>E. 5.2.4</w:t>
      </w:r>
    </w:p>
    <w:p>
      <w:r>
        <w:t>En l'espèce, A______ a fondé, successivement, B______ LTD, puis le trust détenteur des actions de cette société. Il exerce, actuellement, au sein de la recourante, une fonction dirigeante (administrateur).</w:t>
      </w:r>
    </w:p>
    <w:p>
      <w:r>
        <w:t>L'on ignore, pour le surplus, qui est le legal owner de B______ LTD, si d'autres personnes y officient en qualité de directeur/administrateur et quels sont les liens que A______ entretient avec ce(s) protagoniste(s). Dans ces circonstances, l'on ne saurait exclure que le recourant conserve le pouvoir d'influencer de manière déterminante, tant les décisions que la gestion des biens de la recourante, que ce soit en application du droit suisse (Durchgriff) ou du droit étranger régissant G______ TRUST (éventuel sham trust), respectivement B______ LTD.</w:t>
      </w:r>
    </w:p>
    <w:p>
      <w:r>
        <w:t>- 15/17 - P/17386/2018 Or, en cas d'identité économique entre les recourants, une éventuelle future créance compensatrice pourrait être ordonnée sur la relation n° 2______. En effet, il a été jugé supra qu'il existait une prévention suffisante d'infraction contre A______ et que ce dernier avait possiblement bénéficié d'avantages illicites résultant de celle-ci, avantages qui pourraient ne pas être entièrement couverts par les valeurs déposées sur le compte n° 1______. L'instruction devra donc porter – en sus des aspects évoqués au consid. 4.2.3. – sur les points de fait et de droit pertinents pour juger de l'existence d'une dualité juridique entre les recourants, respectivement de la possibilité d'en faire abstraction. Dans l'intervalle, le maintien de la mesure attaquée se justifie. Infondé, le recours de B______ LTD doit aussi être rejeté.</w:t>
      </w:r>
    </w:p>
    <w:p>
      <w:r>
        <w:rPr>
          <w:b/>
        </w:rPr>
        <w:t>E. 6</w:t>
      </w:r>
    </w:p>
    <w:p>
      <w:r>
        <w:t>Les recourants succombent intégralement. Ils seront donc déboutés de leurs conclusions tendant au versement d'une indemnité au sens de l'art. 436 CPP. Ils supporteront les frais de la procédure de recours (art. 428 al. 1 CPP) à raison de la moitié chacun (art. 418 al. 1 CPP), frais qui seront fixés à CHF 4'000.- en totalité – soit CHF 2'000.- par recours –, émolument de décision inclus (art. 3 cum 13 al. 1 du Règlement fixant le tarif des frais en matière pénale, RTFMP; E 4 10.03). * * * * *</w:t>
      </w:r>
    </w:p>
    <w:p>
      <w:r>
        <w:t>- 16/17 - P/17386/2018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