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ACPR/853/2022 vom 28. Juni 2022</w:t>
      </w:r>
    </w:p>
    <w:p>
      <w:r>
        <w:t>GE Cour de justice, 2022-06-28, FR</w:t>
      </w:r>
    </w:p>
    <w:p>
      <w:r>
        <w:rPr>
          <w:b/>
        </w:rPr>
        <w:t xml:space="preserve">Quelle: </w:t>
      </w:r>
      <w:r>
        <w:t>https://mcp.opencaselaw.ch/entscheid/ge_gerichte_ACPR_853_2022</w:t>
      </w:r>
    </w:p>
    <w:p>
      <w:r>
        <w:t>FR: GE_GERICHTE ACPR/853/2022 du 28 juin 2022</w:t>
      </w:r>
    </w:p>
    <w:p>
      <w:r>
        <w:t>IT: GE_GERICHTE ACPR/853/2022 del 28 giugno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fait grief au Ministère public de n'être pas entré en matière sur les faits dénoncés.</w:t>
      </w:r>
    </w:p>
    <w:p>
      <w:r>
        <w:t>- 8/15 - P/22492/2021</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 ATF 137 IV 285 consid. 2.5 p. 288 ; arrêts du Tribunal fédéral 6B_417/2017 du 10 janvier 2018 consid. 2.1.2 ; 6B_185/2016 du 30 novembre 2016 consid. 2.1.2 et les références). Une non-entrée en matière doit également être rendue lorsqu'il existe un empêchement de procéder, par exemple lorsque le délai pour déposer plainte prévu par l'art. 31 CP n'a pas été respecté (art. 310 al. 1 let. b CPP; arrêt du Tribunal fédéral 6B_848/2018 du 4 décembre 2018 consid. 1.5) ou lorsqu'il peut être renoncé à toute poursuite ou à toute sanction en vertu de dispositions légales (art. 310 al. 1 let. c cum art. 8 al. 1 CPP). Tel est notamment le cas si la culpabilité de l'auteur et les conséquences de son acte sont peu importantes (art. 52 CP).</w:t>
      </w:r>
    </w:p>
    <w:p>
      <w:r>
        <w:rPr>
          <w:b/>
        </w:rPr>
        <w:t>E. 3.2</w:t>
      </w:r>
    </w:p>
    <w:p>
      <w:r>
        <w:t>La Chambre de céans revoit avec un plein pouvoir de cognition, en fait notamment, les points de la décision attaqués devant elle (art. 393 al. 2 et 385 al. 1 let. a CPP).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 3.3.1. Selon l'art. 137 ch. 1 CP, se rend coupable d'appropriation illégitime celui qui, pour se procurer ou procurer à un tiers un enrichissement illégitime, se sera approprié une chose mobilière appartenant à autrui. Si l'auteur a agi sans dessein</w:t>
      </w:r>
    </w:p>
    <w:p>
      <w:r>
        <w:t>- 9/15 - P/22492/2021 d'enrichissement illégitime, l'infraction ne sera poursuivie que sur plainte (art. 137 ch. 2 al. 2 CP). 3.3.2. Se rend coupable de vol celui qui, pour se procurer ou procurer à un tiers un enrichissement illégitime, aura soustrait une chose mobilière appartenant à autrui dans le but de se l'approprier (art. 139 ch. 1 CP). 3.3.3. L’art. 144 ch. 1 CP réprime le comportement de celui qui aura endommagé, détruit ou mis hors d'usage une chose, soit appartenant à autrui, soit frappé d'un droit d'usage ou d'usufruit au bénéfice d'autrui. 3.3.4. L’art. 177 CP (injure) réprime le comportement de quiconque aura, d’une autre manière que celle décrite aux art. 173 et ss CP, notamment par la parole ou l'écriture, attaqué autrui dans son honneur. 3.3.5. L'art. 179quater al. 1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3.3.6. L'art. 179septies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À titre d'exemple, l'envoi d'environ dix SMS par jour sur une période de sept mois a été considéré comme quantitativement suffisant pour importuner la personne visée (arrêt du Tribunal fédéral 6B_1088/2015 du 6 juin 2016 consid. 2.1).</w:t>
      </w:r>
    </w:p>
    <w:p>
      <w:r>
        <w:t>- 10/15 - P/22492/2021 3.3.7. Se rend coupable de menaces celui qui, par une menace grave, alarme ou effraie une personne. L'infraction est poursuivie sur plainte (art. 180 CP).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6B_871/2014 du 24 août 2015 consid. 2.2.2 ; 6B_820/2011 du 5 mars 2012 consid. 3). 3.3.8.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Au-delà de l'usage de la violence ou de la menace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 Lorsque la victime ne se laisse pas intimider et n'adopte pas le comportement voulu par l'auteur, ce dernier est punissable de tentative de contrainte (art. 22 al. 1 CP; ATF 129 IV 262 consid. 2.7 p. 270; 106 IV 125 consid. 2b p. 129).</w:t>
      </w:r>
    </w:p>
    <w:p>
      <w:r>
        <w:rPr>
          <w:b/>
        </w:rPr>
        <w:t>E. 3.4</w:t>
      </w:r>
    </w:p>
    <w:p>
      <w:r>
        <w:t>Selon l'art. 172ter al. 1 CP, applicable aux infractions du titre 2 de la partie spéciale du Code pénal (infractions contre le patrimoine; art. 137 à 172ter CP), si l'acte ne visait qu'un élément patrimonial de faible valeur ou un dommage de moindre importance, l'auteur sera, sur plainte, puni d'une amende. La limite de la faible valeur se situe à CHF 300.- (ATF 142 IV 129 consid. 3.1 p. 133).</w:t>
      </w:r>
    </w:p>
    <w:p>
      <w:r>
        <w:rPr>
          <w:b/>
        </w:rPr>
        <w:t>E. 3.5</w:t>
      </w:r>
    </w:p>
    <w:p>
      <w:r>
        <w:t>Aux termes de l'art. 31 CP, le droit de porter plainte se prescrit par trois mois. Le délai court du jour où l'ayant droit a connu l'auteur de l'infraction. Le point de départ du délai est ainsi la connaissance de l'auteur et, bien entendu également, de l'infraction. La connaissance par l'ayant droit doit être sûre et certaine, de sorte qu'il puisse considérer qu'une procédure dirigée contre l'auteur aura de bonnes chances de</w:t>
      </w:r>
    </w:p>
    <w:p>
      <w:r>
        <w:t>- 11/15 - P/22492/2021 succès (ATF 142 IV 129 consid. 4.3 p. 135; 126 IV 131 consid. 2a p. 132; arrêts du Tribunal fédéral 6B_42/2021 du 8 juillet 2021 consid. 4.2.1 et 6B_1079/2020 consid. 2.4.2).</w:t>
      </w:r>
    </w:p>
    <w:p>
      <w:r>
        <w:rPr>
          <w:b/>
        </w:rPr>
        <w:t>E. 3.6</w:t>
      </w:r>
    </w:p>
    <w:p>
      <w:r>
        <w:t>En l'espèce, il convient d'examiner les différentes infractions dénoncées selon le motif qui a conduit à leur non-entrée en matière. Empêchement de procéder (art. 310 al. 1 let. b CPP) Le Ministère public a estimé tardive la plainte de la recourante en lien avec les infractions dénoncées de tentative de vol d'importance mineure (13 janvier 2021), violation du domaine secret ou du domaine privé au moyen d'un appareil de prise de vues (14 février 2021) et injure (18 février 2021). La recourante ne discute pas – à raison – de cette dernière infraction, à mettre en lien avec le message du mis en cause la qualifiant de "grande folle", dont le délai de trois mois a échu la veille du jour où elle a porté plainte, soit le 19 mai 2021 (ATF 144 IV 161). Sur ce point, sa plainte était bien tardive. Dans la mesure où, le soir de la Saint-Valentin, elle avait immédiatement demandé au mis en cause s'il avait pris une photo d'elle dans le bain, alors qu'elle avait fermé la porte pour être seule, en dénonçant ces faits le 20 mai 2021, soit plus de trois mois après le 15 février 2021, dies a quo du délai, sa plainte s'avère tardive s'agissant de la violation du domaine secret ou du domaine privé au moyen d'un appareil de prise de vues. Après la soirée du 13 janvier 2021 durant laquelle la recourante a retrouvé CHF 100.- et sa carte d'identité sous la machine à crêpes, ses messages envoyés au mis en cause laissent comprendre qu'elle le soupçonnait d'avoir "glissé" l'argent dans le but de participer aux frais du repas. La teneur de cette discussion permet ainsi de retenir qu'elle ne prêtait au mis en cause aucune intention délictuelle. Il n'existe donc pas de soupçon suffisant pour incriminer rétroactivement le mis en cause. Par substitution de motifs, la non-entrée en matière sur ces faits s'imposait également, faute d'élément constitutif. Éléments constitutifs non réunis (art. 310 al. 1 let. a CPP) Les accusations de la recourante s'agissant des dégâts causés sur son vélo reposent uniquement sur ses convictions et une coïncidence temporelle, indices en eux-mêmes insuffisants pour fonder une prévention pénale en l'absence d'autres éléments probants.</w:t>
      </w:r>
    </w:p>
    <w:p>
      <w:r>
        <w:t>- 12/15 - P/22492/2021 Il en va de même pour les douze appels masqués reçus entre le 15 et le 17 mai 2021, éventuellement constitutifs d'une utilisation abusive d'une installation de télécommunication, dont l'auteur n'est pas identifiable en l'état. Le mis en cause en fût-il l'origine, leur nombre et leur espacement dans un intervalle de trois jours ne laisseraient pas, en tout état, apparaître une gravité suffisante pour considérer une atteinte – au sens de la norme applicable – à la sphère privée de la recourante. Le 18 décembre 2020, la relation entre la recourante et le mis en cause n'avait qu'une nature épistolaire et ne durait que depuis deux mois environ. Durant cette période, la première a visiblement repoussé à plusieurs reprises leur première rencontre et, lorsqu'elle a changé les plans prévus le jour en question, une dispute avait éclaté entre eux. Dans le cadre de celle-ci, le mis en cause lui a écrit "je vais te harceler ce sooor", avant de lui envoyer d'autres messages et tenter de la joindre au téléphone à sept reprises. Si la démarche n'est pas très chevaleresque, la finalité recherchée par le mis en cause était vraisemblablement de pouvoir s'expliquer avec la recourante, qui n'a pas répondu à ses sollicitations. Il a d'ailleurs explicité ses intentions dans ses messages ("Je veux te parle au tel pour essaie de rattraper tout sa et te voir") puis s'est excusé le lendemain de son comportement. En outre, la recourante ne semble pas avoir été réellement effrayée puisqu'elle a poursuivi leur relation en recontactant le mis en cause. Dans ces circonstances, l'attitude de ce dernier n'atteint pas un degré équivalent à l'usage de la violence ou de menaces pour retenir une tentative de contrainte. Dans sa plainte, la recourante a affirmé que le mis en cause lui avait subtilisé la somme de CHF 2'000.- durant une soirée du 5 février 2021. Par la suite, elle a parlé d'une somme entre CHF 15'000.- et CHF 25'000.-, volée durant une soirée du 25 janvier 2021. Au moment de justifier ces divergences, ses explications se sont également avérées fluctuantes. D'abord, elle craignait que l'Hospice général apprenne l'existence de cet argent, même si une partie appartenait supposément à son frère. Ensuite, elle n'avait découvert l'ampleur du montant disparu que plus tard, parce qu'elle conservait ses liasses dispersées à divers endroits, ne faisant au demeurant plus mention de son frère. Même les éléments factuels connexes qu'elle invoque pour étayer ses accusations, à savoir que la sœur du prévenu aurait ouvert un salon de coiffure avec la somme subtilisée, sont contradictoires. L'extrait du Registre du commerce qu'elle produit à cet égard concerne une entreprise individuelle inscrite le 31 janvier 2018, soit bien avant les faits dénoncés. Partant, les allégations de la recourante contre le mis en cause, qui conteste les faits, apparaissent insuffisamment crédibles pour fonder une prévention pénale. Renonciation à toute poursuite (art. 310 al. 1 let. c CPP) La nature des effets de la recourante jetés par le mis en cause n'est pas certaine. La première liste notamment une bague en or valant CHF 1'980.-, une écharpe à</w:t>
      </w:r>
    </w:p>
    <w:p>
      <w:r>
        <w:t>- 13/15 - P/22492/2021 CHF 129.20 ou encore des marchandises d'une valeur de CHF 1'420.-; tandis que le second parle d'une lame de rasoir, d'une brosse à dents et une brosse à cheveux. L'examen des preuves matérielles met en évidence un message de la recourante où elle demande à récupérer, après la séparation, son pyjama, du maquillage, de l'alcool et de la viande séchée. Le mis en cause reproche pour sa part à l'intéressée d'être allée à la police pour une écharpe qu'elle lui aurait donné. Dans leurs discussions, il n'est fait aucune mention d'une bague et la documentation produite par la recourante en lien avec cet objet ne permet pas d'établir que le bijou dont il est question lui appartient. La simulation de courses, même si elle inclut de l'alcool, ne démontre pas l'achat effectif de tous les produits listés, ni, a fortiori, que ceux-ci auraient été amenés chez le mis en cause. Compte tenu de ce qui précède, les éléments objectifs au dossier ne permettent pas de contredire le Ministère public lorsqu'il considère que les affaires jetées par le mis en cause sont des biens de peu de valeur, dans la mesure où elles sont constituées vraisemblablement d'une trousse de toilettes comprenant le nécessaire (maquillage, brosse à dents, brosse à cheveux, rasoir), un pyjama, de la viande séchée et de l'alcool. S'agissant de l'écharpe, il semble effectivement qu'elle était en possession du mis en cause mais, semble-t-il, qu'il l'avait reçu en cadeau de la recourante. En outre, le sort réservé à ces affaires par le mis en cause – qui a admis les avoir jetées – a vraisemblablement été décidé dans le contexte de la séparation et des accusations de vol par la recourante. Il en va de même de l'emploi, par le mis en cause, du qualificatif "pute" dans l'un de ses messages et de ses propos se voulant menaçants. Le mot et les sous-entendus, bien que manifestement irrespectueux pour la recourante et déplacés, s'inscrivaient dans une fin de relation houleuse, où celle-ci reprochait à celui-là de lui avoir volé de l'argent, ce qu'il conteste. Le choix du Ministère public de ne pas poursuivre le mis en cause en faisant application de l'art. 52 CP n'apparait ainsi pas critiquable eu égard des normes concernées.</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r>
        <w:t>- 14/15 - P/22492/2021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