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ACPR/852/2020 vom 13. Juli 2020</w:t>
      </w:r>
    </w:p>
    <w:p>
      <w:r>
        <w:t>GE Cour de justice, 2020-07-13, FR</w:t>
      </w:r>
    </w:p>
    <w:p>
      <w:r>
        <w:rPr>
          <w:b/>
        </w:rPr>
        <w:t xml:space="preserve">Quelle: </w:t>
      </w:r>
      <w:r>
        <w:t>https://mcp.opencaselaw.ch/entscheid/ge_gerichte_ACPR_852_2020</w:t>
      </w:r>
    </w:p>
    <w:p>
      <w:r>
        <w:t>FR: GE_GERICHTE ACPR/852/2020 du 13 juillet 2020</w:t>
      </w:r>
    </w:p>
    <w:p>
      <w:r>
        <w:t>IT: GE_GERICHTE ACPR/852/2020 del 13 luglio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w:t>
      </w:r>
    </w:p>
    <w:p>
      <w:r>
        <w:t>- 5/9 - P/9583/2020 juridiquement protégé à la modification ou à l'annulation de la décision querellée (art. 382 al. 1 CPP).</w:t>
      </w:r>
    </w:p>
    <w:p>
      <w:r>
        <w:rPr>
          <w:b/>
        </w:rPr>
        <w:t>E. 2</w:t>
      </w:r>
    </w:p>
    <w:p>
      <w:r>
        <w:t>La pièce nouvelle produite à l'appui de cet acte, ainsi que celles versées à la procédure par le mis en cause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Le recourant se plaint que son droit d'être entendu a été violé dans la mesure où il n'avait pas eu la possibilité de se déterminer sur les pièces produites par le mis en cause par-devant le Ministère public. À tort. Dans le cadre d'une procédure de non- entrée en matière, avant de rendre une ordonnance, le Ministère public n'a pas à informer les parties et n'a pas à leur donner la possibilité d'exercer leur droit d'être entendues. Ce droit sera assuré, le cas échéant, dans le cadre de la procédure de recours (arrêts du Tribunal fédéral 6B_93/2014 du 21 août 2014 et 6B_43/2013 du 11 avril 2013 consid. 2.1 et les références citées), comme ce fut le cas en l'espèce, en particulier concernant le courriel du 5 mars 2019 (cf. consid. 2. infra).</w:t>
      </w:r>
    </w:p>
    <w:p>
      <w:r>
        <w:rPr>
          <w:b/>
        </w:rPr>
        <w:t>E. 4</w:t>
      </w:r>
    </w:p>
    <w:p>
      <w:r>
        <w:t>Le recourant reproche au Ministère public de ne pas être entré en matière sur sa plainte. B______ se serait rendu coupable d’abus de confiance (art. 138 CP) ou de tentative de contrainte (art. 22 cum 181 CP).</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137 IV 285 consid. 2.5; arrêt du Tribunal fédéral 1B_112/2012 du 6 décembre 2012).</w:t>
      </w:r>
    </w:p>
    <w:p>
      <w:r>
        <w:rPr>
          <w:b/>
        </w:rPr>
        <w:t>E. 4.2</w:t>
      </w:r>
    </w:p>
    <w:p>
      <w:r>
        <w:t>Commet un abus de confiance au sens de l'art. 138 ch. 1 al. 2 CP, celui qui, sans droit, aura employé à son profit ou au profit d'un tiers, des valeurs patrimoniales qui lui avaient été confiées.</w:t>
      </w:r>
    </w:p>
    <w:p>
      <w:r>
        <w:rPr>
          <w:b/>
        </w:rPr>
        <w:t>E. 4.2.1</w:t>
      </w:r>
    </w:p>
    <w:p>
      <w:r>
        <w:t>L'infraction à l'art. 138 CP est une infraction intentionnelle. Le dol éventuel suffit. L'intention doit porter sur l'appartenance à autrui des valeurs sur le plan</w:t>
      </w:r>
    </w:p>
    <w:p>
      <w:r>
        <w:t>- 6/9 - P/9583/2020 économique et sur l'utilisation illicite de celles-ci (A. MACALUSO / L. MOREILLON / N. QUELOZ (éds), Commentaire romand, Code pénal II, vol. II, Partie spéciale : art. 111-392 CP, Bâle 2017, n. 46 ad art. 138).</w:t>
      </w:r>
    </w:p>
    <w:p>
      <w:r>
        <w:rPr>
          <w:b/>
        </w:rPr>
        <w:t>E. 4.2.2</w:t>
      </w:r>
    </w:p>
    <w:p>
      <w:r>
        <w:t>L'abus de confiance, même si cette exigence ne ressort pas clairement du texte légal s'agissant des valeurs patrimoniales, nécessite également que l'auteur agisse dans un dessein d'enrichissement illégitime, soit qu'il ait le dessein d'obtenir un avantage patrimonial auquel l'auteur n'a pas le droit (A. MACALUSO / L. MOREILLON / N. QUELOZ (éds), op cit., n. 47 ad art. 138).</w:t>
      </w:r>
    </w:p>
    <w:p>
      <w:r>
        <w:rPr>
          <w:b/>
        </w:rPr>
        <w:t>E. 4.3</w:t>
      </w:r>
    </w:p>
    <w:p>
      <w:r>
        <w:t>Commet une contrainte selon l'art. 181 CP, celui qui, en usant de violence envers une personne ou en la menaçant d'un dommage sérieux, ou en l'entravant de quelque autre manière dans sa liberté d'action, l'aura obligée à faire, à ne pas faire ou à laisser faire un acte. Lorsque la victime ne se laisse pas intimider et n’adopte pas le comportement voulu par l’auteur, ce dernier est punissable pour tentative de contrainte (art. 22 CP ; ATF 129 IV 262 consid 2.7. JdT 2005 IV 207).</w:t>
      </w:r>
    </w:p>
    <w:p>
      <w:r>
        <w:rPr>
          <w:b/>
        </w:rPr>
        <w:t>E. 4.4</w:t>
      </w:r>
    </w:p>
    <w:p>
      <w:r>
        <w:t>En l'espèce, le montant transféré sur le compte client de l'Étude du mis en cause, destiné au recourant, n'a pas été utilisé et y figure toujours. De ses propres déclarations, le mis en cause n'a jamais eu l'intention d'utiliser lesdites valeurs patrimoniales mais entendait les restituer après le paiement de ses honoraires, ce qui est corroboré par le dépôt de sa demande en justice, dans laquelle il réclame l'intégralité de ses honoraires. Ainsi, il apparaît que le mis en cause n'a jamais eu l'intention de s'approprier les valeurs patrimoniales reçues, ni même d'en user à son profit. La condition du dessein d'enrichissement illégitime ne paraît pas non plus remplie dans la mesure où l’intimé rend vraisemblable une créance d’honoraires à l'encontre du recourant et a entrepris les démarches nécessaires pour la recouvrer. Le montant qu’il conserve, en l'état, représente une somme inférieure aux honoraires qu'il estime lui être encore dus. Le recourant, bien que contestant le tarif appliqué par son ancien mandataire, n'allègue pas pour autant que les honoraires dus selon lui seraient inférieurs à la somme conservée par l’intimé. Le recourant allègue avoir été victime de contrainte. Tout au plus, pourrait-il s'agir d'une tentative, dans la mesure où le recourant n’a pas adopté le comportement recherché, à savoir le paiement des honoraires réclamés par l’avocat. Toutefois, on ne voit pas que le comportement consistant à refuser le remboursement d’une somme correspondant, le cas échéant, à des honoraires constitue une contrainte illicite au sens de l’art. 181 CP, voire dénoter un quelconque caractère pénal. Le moyen ainsi utilisé est licite et proportionné – montant retenu inférieur à celui réclamé –. Retenir la somme reçue de l'Office des faillites n'est d'ailleurs pas non plus la menace d'un dommage sérieux, au sens de la loi.</w:t>
      </w:r>
    </w:p>
    <w:p>
      <w:r>
        <w:t>- 7/9 - P/9583/2020 Partant, en l'absence d'infraction pénale, la décision querellée ne prête pas le flanc à la critique.</w:t>
      </w:r>
    </w:p>
    <w:p>
      <w:r>
        <w:rPr>
          <w:b/>
        </w:rPr>
        <w:t>E. 5</w:t>
      </w:r>
    </w:p>
    <w:p>
      <w:r>
        <w:t>Justifiée, l'ordonnance querellée sera donc confirmée.</w:t>
      </w:r>
    </w:p>
    <w:p>
      <w:r>
        <w:rPr>
          <w:b/>
        </w:rPr>
        <w:t>E. 6</w:t>
      </w:r>
    </w:p>
    <w:p>
      <w:r>
        <w:t>Le recourant, qui succombe, supportera les frais envers l'État, qui seront fixés, en totalité à CHF 800.- (art. 428 al. 1 CPP et 13 al. 1 du Règlement fixant le tarif des frais en matière pénale, RTFMP ; E 4 10.03). * * * * *</w:t>
      </w:r>
    </w:p>
    <w:p>
      <w:r>
        <w:t>- 8/9 - P/9583/2020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