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ACPR/852/2019 vom 5. August 2019</w:t>
      </w:r>
    </w:p>
    <w:p>
      <w:r>
        <w:t>GE Cour de justice, 2019-08-05, FR</w:t>
      </w:r>
    </w:p>
    <w:p>
      <w:r>
        <w:rPr>
          <w:b/>
        </w:rPr>
        <w:t xml:space="preserve">Quelle: </w:t>
      </w:r>
      <w:r>
        <w:t>https://mcp.opencaselaw.ch/entscheid/ge_gerichte_ACPR_852_2019</w:t>
      </w:r>
    </w:p>
    <w:p>
      <w:r>
        <w:t>FR: GE_GERICHTE ACPR/852/2019 du 5 août 2019</w:t>
      </w:r>
    </w:p>
    <w:p>
      <w:r>
        <w:t>IT: GE_GERICHTE ACPR/852/2019 del 5 agosto 2019</w:t>
      </w:r>
    </w:p>
    <w:p>
      <w:pPr>
        <w:pStyle w:val="Heading2"/>
      </w:pPr>
      <w:r>
        <w:t>Erwägungen</w:t>
      </w:r>
    </w:p>
    <w:p>
      <w:r>
        <w:rPr>
          <w:b/>
        </w:rPr>
        <w:t>E. 1</w:t>
      </w:r>
    </w:p>
    <w:p>
      <w:r>
        <w:t>Le recours est recevable pour avoir été déposé selon la forme et dans le délai prescrits (art. 91 al. 2,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2.1</w:t>
      </w:r>
    </w:p>
    <w:p>
      <w:r>
        <w:t>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(ATF 138 I 49 consid. 8.3.1 p. 53 et les références citées). Le principe de la bonne foi est également concrétisé à l'art. 3 al. 2 let. a CPP et concerne, en procédure pénale, non seulement les autorités pénales mais, le cas échéant, les différentes parties, y compris le prévenu (ATF 144 IV 189 consid. 5.1 ; 143 IV 117 consid. 3.2 p. 121).</w:t>
      </w:r>
    </w:p>
    <w:p>
      <w:r>
        <w:t>- 5/8 - P/5152/2019 Selon ce principe constitutionnel, toute autorité doit s'abstenir de procédés déloyaux et de comportements contradictoires, notamment lorsqu'elle agit à l'égard des mêmes justiciables, dans la même affaire ou à l'occasion d'affaires identiques (ATF 111 V 81 consid. 6 p. 87 ; arrêts du Tribunal fédéral 1B_640/2012 du 13 novembre 2012 consid. 3.1 et les arrêts cités ; 6B_481/2009 du 7 septembre 2009 consid. 2.2 ; ACPR/336/2012 du 20 août 2012). À certaines conditions, le citoyen peut ainsi exiger de l'autorité qu'elle se conforme aux promesses ou assurances précises qu'elle lui a faites et ne trompe pas la confiance qu'il a légitimement placée dans ces dernières (ATF 128 II 112 consid. 10b/aa p. 125 ; 118 Ib 580 consid. 5a p. 582). De la même façon, le droit à la protection de la bonne foi peut aussi être invoqué en présence, simplement, d'un comportement de l'administration susceptible d'éveiller chez l'administré une attente ou une espérance légitime (ATF 129 II 361 consid. 7.1 p. 381 ; 126 II 377 consid. 3a p. 387 et les références citées ; ACPR/125/2014 du</w:t>
      </w:r>
    </w:p>
    <w:p>
      <w:r>
        <w:rPr>
          <w:b/>
        </w:rPr>
        <w:t>E. 2.2</w:t>
      </w:r>
    </w:p>
    <w:p>
      <w:r>
        <w:t>En l'espèce, force est de contaster que les affirmations du recourant ne sont pas confirmées par le dossier. Le prévenu a pu prendre connaissance du formulaire, en anglais, de ses droits et obligations à teneur duquel il lui était mentionné qu'il pouvait faire appel à un avocat. Or, il y a renoncé et a répondu aux questions posées, sans jamais faire référence à son conseil. Il a refusé de signer les documents sans donner d'explications et, a posteriori, soutient que ce refus était motivé par le fait qu'il voulait être assister d'un avocat. On ne voit pas pourquoi la police n'aurait pas pris note de la volonté du recourant d'être assisté par son conseil, et le prévenu n'en donne pas de raison, alors même qu'elle est fréquemment sollicitée en ce sens par les personnes qu'elle doit entendre. Rien ne permet de penser que le Procureur aurait soutenu que le recourant n'avait rien à se reprocher et l'aurait ainsi induit en erreur. Si tel avait été le cas, on ne comprend pas, à suivre le recourant, pourquoi il n'aurait pas, alors, signé l'ordonnance pénale. Le grief est rejeté. 3. 3.1. Le tribunal de première instance statue sur la validité de l'ordonnance pénale et de l'opposition (art. 356 al. 2 CPP). Si l'ordonnance pénale n'est pas valable, le</w:t>
      </w:r>
    </w:p>
    <w:p>
      <w:r>
        <w:t>- 6/8 - P/5152/2019 tribunal l'annule et renvoie le cas au ministère public en vue d'une nouvelle procédure préliminaire (art. 356 al. 5 CPP). Le contenu de l'ordonnance pénale est déterminé par sa double fonction d'acte d'accusation en cas d'opposition (art. 356 al. 1 CPP) et de jugement entré en force à défaut d'opposition (art. 354 al. 3 CPP). La description des faits imputés au prévenu (art. 353 al. 1 let. c CPP) doit notamment satisfaire aux exigences du principe de l'accusation au sens de l'art. 325 al. 1 let. f CPP (arrêt du Tribunal fédéral 6B 1260/2016 du 7 août 2017 consid. 3.1) 3.2. À teneur de l'art. 354 al. 1 CPP, le délai pour former opposition contre une ordonnance pénale est de 10 jours. Les délais fixés en jour commencent à courir le jour qui suit leur notification ou l'évènement qui les déclenche (art. 90 al. 1 CPP). 3.3. En l'espèce, l'ordonnance pénale est valable en ce qu'elle est conforme aux art. 352 et 353 CPP. Le recourant ne conteste pas avoir reçu notification de l'ordonnance pénale le 8 mars 2019. Rien à la procédure ne laisse penser qu'il aurait voulu qu'un avocat lui soit désigné, à la suite de cette notification, au sens de l'arrêt de la Chambre de céans cité (DCPR/128/2011), comme on l'a vu supra. Ainsi, ce n'est que par courrier du 19 mars 2019, que le recourant a formé opposition soit tardivement. La question de l'exploitation des pièces ne se pose dès lors pas, le Tribunal de police n'ayant pas ouvert les débats ni statué sur le fond. C'est à juste titre que le Tribunal de police a constaté l'irrecevabilité, pour cause de tardiveté. Il appartiendra au Ministère public de statuer sur la demande de restitution de délai sollicitée le 19 mars 2019. 4. Justifiée, l'ordonnance querellée sera donc confirmée. 5. Le recourant, qui succombe, supportera les frais envers l'État, fixés en totalité CHF 900.-, y compris un émolument de procédure (art. 428 al. 1 CPP et 13 al. 1 du Règlement fixant le tarif des frais en matière pénale, RTFMP ; E 4 10.03). * * * * *</w:t>
      </w:r>
    </w:p>
    <w:p>
      <w:r>
        <w:t>- 7/8 - P/5152/2019</w:t>
      </w:r>
    </w:p>
    <w:p>
      <w:r>
        <w:rPr>
          <w:b/>
        </w:rPr>
        <w:t>E. 6</w:t>
      </w:r>
    </w:p>
    <w:p>
      <w:r>
        <w:t>mars 2014). Est également rattachée à l'art. 3 al. 2 let. a et b CPP, mais aussi à l'art. 29 al. 1 Cst, l'interdiction du formalisme excessif qui est enfreinte lorsque la stricte application des règles de procédure ne se justifie par aucun intérêt digne de protection, devient une fin en soi, complique de manière insoutenable la mise en oeuvre du droit matériel ou entrave de manière inadmissible l'accès aux tribunaux (Y. JEANNERET / A. KUHN, Précis de procédure pénale, Berne 2018, 2ème éd., n. 4004, p.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