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ACPR/850/2024 vom 30. August 2024</w:t>
      </w:r>
    </w:p>
    <w:p>
      <w:r>
        <w:t>GE Cour de justice, 2024-08-30, FR</w:t>
      </w:r>
    </w:p>
    <w:p>
      <w:r>
        <w:rPr>
          <w:b/>
        </w:rPr>
        <w:t xml:space="preserve">Quelle: </w:t>
      </w:r>
      <w:r>
        <w:t>https://mcp.opencaselaw.ch/entscheid/ge_gerichte_ACPR_850_2024</w:t>
      </w:r>
    </w:p>
    <w:p>
      <w:r>
        <w:t>FR: GE_GERICHTE ACPR/850/2024 du 30 août 2024</w:t>
      </w:r>
    </w:p>
    <w:p>
      <w:r>
        <w:t>IT: GE_GERICHTE ACPR/850/2024 del 30 agosto 2024</w:t>
      </w:r>
    </w:p>
    <w:p>
      <w:pPr>
        <w:pStyle w:val="Heading2"/>
      </w:pPr>
      <w:r>
        <w:t>Erwägungen</w:t>
      </w:r>
    </w:p>
    <w:p>
      <w:r>
        <w:rPr>
          <w:b/>
        </w:rPr>
        <w:t>E. 1</w:t>
      </w:r>
    </w:p>
    <w:p>
      <w:r>
        <w:t>Le recours est recevable pour avoir été déposé selon la forme et dans le délai prescrits (art. 90 al. 1, 384 let. b, 385 al. 1 et 396 al. 1 CPP), concerner une ordonnance sujette à recours auprès de la Chambre de céans (art. 393 al. 1 let. a CPP) et émaner de plaignants qui, parties à la procédure (art. 104 al. 1 let. b CPP), ont qualité pour agir, ayant un intérêt juridiquement protégé à la modification ou à l'annulation de la décision querellée (art. 382 al. 1 CPP), y compris sous l’angle du faux dans les titres, puisqu’il est allégué que cette infraction visait à leur nuire, en tant qu’élément d’une infraction contre leur patrimoine (ATF 148 IV 170 consid. 3.5.1).</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w:t>
      </w:r>
    </w:p>
    <w:p>
      <w:r>
        <w:t>- 4/9 - P/19984/2024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sur la situation factuelle ou juridique, ce n'est pas à l'autorité d'instruction ou d'accusation mais, au juge matériellement compétent de se prononcer (ATF 143 IV 241 consid. 2.2.1 ; 138 IV 86 consid. 4.1.2).</w:t>
      </w:r>
    </w:p>
    <w:p>
      <w:r>
        <w:rPr>
          <w:b/>
        </w:rPr>
        <w:t>E. 3</w:t>
      </w:r>
    </w:p>
    <w:p>
      <w:r>
        <w:t>Les recourants s’estiment victimes d’une escroquerie, commise au moyen de faux dans les titres.</w:t>
      </w:r>
    </w:p>
    <w:p>
      <w:r>
        <w:rPr>
          <w:b/>
        </w:rPr>
        <w:t>E. 3.1</w:t>
      </w:r>
    </w:p>
    <w:p>
      <w:r>
        <w:t>L'art. 146 CP réprime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 verantwortlich »), respectivement compétente (« zuständig »), pour le patrimoine du lésé et puisse en disposer, au moins de fait (ATF 133 IV 171 consid. 4.3 ; ATF 128 IV 255 consid. 2e). L'élément constitutif de l'astuce est réalisé lorsque l'auteur, pour tromper autrui, recourt à un édifice de mensonge,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(ATF 128 IV 18 consid. 3a). Pour apprécier si l'auteur a usé d'astuce et si la dupe a omis de prendre des mesures de prudence élémentaires, il ne suffit pas de se demander comment une personne raisonnable et expérimentée aurait réagi à la tromperie. Il faut prendre en</w:t>
      </w:r>
    </w:p>
    <w:p>
      <w:r>
        <w:t>- 5/9 - P/19984/2024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 ATF 128 IV 18 consid. 3a). L'astuce ne peut donc être niée que si la tromperie pouvait être empêchée par des précautions qui peuvent être qualifiées d'élémentaires dans la situation de la dupe. Une coresponsabilité de celle-ci n'exclut toutefois l'astuce que dans des cas exceptionnels (ATF 147 IV 73 consid. 3.2). Ainsi, n'importe quelle négligence de sa part ne suffit pas à exclure l'astuce (ATF 126 IV 165 consid. 2a). Il n'est donc pas nécessaire que la dupe soit exempte de la moindre faute (arrêt du Tribunal fédéral 6B_1074/2024 du 21 août 2024 consid. 3.1.).</w:t>
      </w:r>
    </w:p>
    <w:p>
      <w:r>
        <w:rPr>
          <w:b/>
        </w:rPr>
        <w:t>E. 3.2</w:t>
      </w:r>
    </w:p>
    <w:p>
      <w:r>
        <w:t>L'art. 251 CP réprime quiconque constate ou fait constater faussement, dans un titre, un fait ayant une portée juridique. Cette disposition – qui doit être appliquée de manière restrictive (ATF 117 IV 35 consid. 1d) – vise non seulement un titre faux ou la falsification d'un titre (faux matériel), mais aussi un titre mensonger (faux intellectuel).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Il peut s'agir, par exemple, d'un devoir de vérification qui incombe à l'auteur du document ou de l'existence de dispositions légales, comme les art. 958a ss CO,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Pour que le mensonge soit punissable comme faux intellectuel, il faut que le document ait une valeur probante plus grande que dans l'hypothèse d'un faux matériel : on parle de « valeur probante accrue » (arrêt du Tribunal fédéral 6B_1092/2023 du 24 mai 2024 consid. 3.1).</w:t>
      </w:r>
    </w:p>
    <w:p>
      <w:r>
        <w:rPr>
          <w:b/>
        </w:rPr>
        <w:t>E. 3.3</w:t>
      </w:r>
    </w:p>
    <w:p>
      <w:r>
        <w:t>En l’espèce, les recourants allèguent, certes, avoir dû payer des consommations d’eau et d’électricité qui n’auraient jamais été les leurs ; mais ils ne disent pas – ni même ne tentent d’estimer – quelle eût été leur consommation propre, effective, si des installations tierces n’avaient pas été raccordées aux leurs. Dans leur plainte, ils prétendent au remboursement de l’intégralité, ni plus ni moins, des factures des SIG qu’ils ont acquittées pendant deux ans. Les numéros des compteurs cités par les SIG ne correspondent cependant pas à ceux mentionnés par l’entreprise d’électricité venue dans la villa, et les SIG ont invité les recourants à faire analyser l’attribution des locaux aux différents compteurs ; ce qui prouve bien que les explications avancées par les recourants sur la distribution des flux qu’enregistraient ces compteurs sont largement conjecturales.</w:t>
      </w:r>
    </w:p>
    <w:p>
      <w:r>
        <w:t>- 6/9 - P/19984/2024 On ne voit de plus pas en quoi un étiquetage fallacieux – dans un local technique auquel eux-mêmes avaient accès – révélerait une quelconque astuce de la part des personnes qu’ils mettent en cause. On ne voit pas non plus comment l’étiquetage spécifique « piscine » – seul repris dans l’acte de recours – constituerait un titre, au sens de l’art. 110 al. 5 (recte : 4) CP. La véracité des chiffres d’une consommation d’eau ou d’électricité n’est pas établie par une telle inscription, qui plus est apposée unilatéralement et sans valeur officielle aucune, mais par le relevé, chiffré, qu’exprime le compteur. On ne se trouve ainsi pas dans une configuration analogue à celle d’un sceau de boucherie falsifié, comme dans l’ATF 103 IV 27 invoqué par les recourants. L’étiquetage « piscine » ne revêt aucune force probante quelconque. Par ailleurs, il n’est ni allégué ni établi que l’appareil de mesure en question aurait subi une modification assimilable à une falsification des poids et mesures, au sens de l’art. 248 CP, ou à une soustraction d’énergie, au sens de l’art. 142 CP (en tant que ces dispositions s’appliquent aux compteurs électriques ou aux appareils servant à établir un décompte de consommation, cf. M. DUPUIS / L. MOREILLON / C. PIGUET / S. BERGER / M. MAZOU / V. RODIGARI (éds), Code pénal - Petit commentaire, 2e éd., Bâle 2017, n. 7 ad art. 142 et n. 7 ad art. 248). En réalité, les recourants mettent en cause la création à leur insu d’un « rapport d’usage » avec les SIG auquel ils affirment n’avoir jamais été parties, mais qu’ils imputent à une manœuvre des personnes visées dans leurs plaintes. Or, si les SIG devaient avoir été dupés sur la base d’un simple appel téléphonique passé par un représentant direct ou indirect de la bailleresse, on ne saurait y voir la moindre astuce, là non plus. Il résulte des explications écrites données par les SIG que ceux-ci ont accepté sans autre la demande qui leur était faite. En outre, on peut exclure qu'une escroquerie triangulaire eût été commise, puisque même si les deux personnes mises en cause avaient, ensemble ou séparément, déterminé les SIG à des actes préjudiciables aux intérêts des recourants, on ne voit pas que ceux-là aient eu un quelconque pouvoir de disposition sur le patrimoine de ceux-ci (cf. arrêt du Tribunal fédéral 6B_54/2019 du 3 mai 2019 consid. 3.4). En conclusion, le comportement prêté aux deux personnes mises en cause ne revêt pas de qualification pénale.</w:t>
      </w:r>
    </w:p>
    <w:p>
      <w:r>
        <w:rPr>
          <w:b/>
        </w:rPr>
        <w:t>E. 4</w:t>
      </w:r>
    </w:p>
    <w:p>
      <w:r>
        <w:t>Le recours s'avère infondé. Dès lors, il pouvait être traité d’emblée sans échange d’écritures ni débats (art. 390, al. 2 et 5 a contrario, CPP).</w:t>
      </w:r>
    </w:p>
    <w:p>
      <w:r>
        <w:t>- 7/9 - P/19984/2024</w:t>
      </w:r>
    </w:p>
    <w:p>
      <w:r>
        <w:rPr>
          <w:b/>
        </w:rPr>
        <w:t>E. 5</w:t>
      </w:r>
    </w:p>
    <w:p>
      <w:r>
        <w:t>Les recourants, qui succombent, supporteront, solidairement (art. 418 al. 2 CPP), les frais envers l'État, fixés en intégralité à CHF 1'800.- (art. 428 al. 1 CPP et 13 al. 1 du Règlement fixant le tarif des frais en matière pénale, RTFMP ; E 4 10.03). * * * * *</w:t>
      </w:r>
    </w:p>
    <w:p>
      <w:r>
        <w:t>- 8/9 - P/19984/2024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